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74" w:rsidRPr="008E4074" w:rsidRDefault="008E4074" w:rsidP="008E4074">
      <w:pPr>
        <w:jc w:val="center"/>
        <w:rPr>
          <w:b/>
          <w:sz w:val="24"/>
        </w:rPr>
      </w:pPr>
      <w:r w:rsidRPr="008E4074">
        <w:rPr>
          <w:b/>
          <w:sz w:val="24"/>
        </w:rPr>
        <w:t>Kerangka Acuan (Term of References)</w:t>
      </w:r>
    </w:p>
    <w:p w:rsidR="004D53F2" w:rsidRDefault="008E4074" w:rsidP="008E4074">
      <w:pPr>
        <w:jc w:val="center"/>
        <w:rPr>
          <w:b/>
          <w:sz w:val="24"/>
        </w:rPr>
      </w:pPr>
      <w:r w:rsidRPr="008E4074">
        <w:rPr>
          <w:b/>
          <w:sz w:val="24"/>
        </w:rPr>
        <w:t xml:space="preserve">Focus Group Discussion </w:t>
      </w:r>
    </w:p>
    <w:p w:rsidR="008E4074" w:rsidRPr="008E4074" w:rsidRDefault="008E4074" w:rsidP="008E4074">
      <w:pPr>
        <w:jc w:val="center"/>
        <w:rPr>
          <w:b/>
          <w:sz w:val="24"/>
        </w:rPr>
      </w:pPr>
      <w:r w:rsidRPr="008E4074">
        <w:rPr>
          <w:b/>
          <w:sz w:val="24"/>
        </w:rPr>
        <w:t>Mater</w:t>
      </w:r>
      <w:r w:rsidR="0059681B">
        <w:rPr>
          <w:b/>
          <w:sz w:val="24"/>
        </w:rPr>
        <w:t>i</w:t>
      </w:r>
      <w:r w:rsidRPr="008E4074">
        <w:rPr>
          <w:b/>
          <w:sz w:val="24"/>
        </w:rPr>
        <w:t>al Balance</w:t>
      </w:r>
      <w:r w:rsidR="004D53F2">
        <w:rPr>
          <w:b/>
          <w:sz w:val="24"/>
        </w:rPr>
        <w:t xml:space="preserve"> antara Cadangan, Produksi, dan Kebutuhan Pasokan Smelter Indonesia</w:t>
      </w:r>
    </w:p>
    <w:p w:rsidR="008E4074" w:rsidRPr="008E4074" w:rsidRDefault="008E4074" w:rsidP="008E4074">
      <w:pPr>
        <w:jc w:val="center"/>
        <w:rPr>
          <w:b/>
          <w:sz w:val="24"/>
        </w:rPr>
      </w:pPr>
      <w:r w:rsidRPr="008E4074">
        <w:rPr>
          <w:b/>
          <w:sz w:val="24"/>
        </w:rPr>
        <w:t>Komite Tetap Mineral</w:t>
      </w:r>
    </w:p>
    <w:p w:rsidR="008E4074" w:rsidRPr="008E4074" w:rsidRDefault="008E4074" w:rsidP="008E4074">
      <w:pPr>
        <w:jc w:val="center"/>
        <w:rPr>
          <w:b/>
          <w:sz w:val="24"/>
        </w:rPr>
      </w:pPr>
      <w:r w:rsidRPr="008E4074">
        <w:rPr>
          <w:b/>
          <w:sz w:val="24"/>
        </w:rPr>
        <w:t>KADIN Indonesia</w:t>
      </w:r>
    </w:p>
    <w:p w:rsidR="008E4074" w:rsidRDefault="008E4074"/>
    <w:p w:rsidR="008E4074" w:rsidRPr="008E4074" w:rsidRDefault="008E4074" w:rsidP="008E4074">
      <w:pPr>
        <w:pStyle w:val="ListParagraph"/>
        <w:numPr>
          <w:ilvl w:val="0"/>
          <w:numId w:val="1"/>
        </w:numPr>
        <w:ind w:left="360"/>
        <w:rPr>
          <w:b/>
        </w:rPr>
      </w:pPr>
      <w:r w:rsidRPr="008E4074">
        <w:rPr>
          <w:b/>
        </w:rPr>
        <w:t>Latar Belakang</w:t>
      </w:r>
    </w:p>
    <w:p w:rsidR="008E4074" w:rsidRDefault="008E4074" w:rsidP="008E4074">
      <w:pPr>
        <w:jc w:val="both"/>
      </w:pPr>
      <w:r w:rsidRPr="008E4074">
        <w:t>Undang-undang (UU) Nomor 4 Tahun 2009 tentang Pertambangan Mineral dan Batu Bara (minerba) sebagai pengganti dari UU Nomor 11 Tahun 1967 tentang Ketentuan-Ketentuan Pokok Pertambangan, mengharuskan perusahaan tambang melaksanakan proses hilirisasi terhadap mineral mentah atau bijih (ore) yang diperoleh.</w:t>
      </w:r>
      <w:r>
        <w:t xml:space="preserve"> </w:t>
      </w:r>
      <w:r w:rsidRPr="008E4074">
        <w:t>Kewajiban pe</w:t>
      </w:r>
      <w:r w:rsidR="00F15DD8">
        <w:t>ngolahan dan pemurn</w:t>
      </w:r>
      <w:r>
        <w:t>ian</w:t>
      </w:r>
      <w:r w:rsidRPr="008E4074">
        <w:t xml:space="preserve"> dalam negeri akan mendatangkan berbagai keuntungan dan manfaat bagi rakyat dan bangsa Indonesia. Selain meningkatkan nilai tambah atas produk mineral yang dihasilkan, kewajiban ini juga akan menciptakan lapangan kerja dan menarik investasi luar negeri. Selain itu smelting dalam negeri memberi kesempatan bagi Indonesia untuk berperan pada tataran pasar mineral global, sebagai acuan dalam mengendalikan pasokan-permintaan produk, serta dapat mempengaruhi harga produk.</w:t>
      </w:r>
    </w:p>
    <w:p w:rsidR="008E4074" w:rsidRDefault="008E4074" w:rsidP="008E4074">
      <w:pPr>
        <w:jc w:val="both"/>
      </w:pPr>
    </w:p>
    <w:p w:rsidR="008E4074" w:rsidRDefault="008E4074" w:rsidP="008E4074">
      <w:pPr>
        <w:jc w:val="both"/>
      </w:pPr>
      <w:r>
        <w:t>Sampai saat ini terdapat 25 fasilitas pengolahan yang telah berproduksi dan pada akhir tahun 2019 akan ada 12 fasilitas pengolahan yang akan siap melakukan produksi</w:t>
      </w:r>
      <w:r w:rsidR="00F7622D">
        <w:t xml:space="preserve"> untuk beberapa komoditas</w:t>
      </w:r>
      <w:r w:rsidR="00A248EB">
        <w:t xml:space="preserve"> (data terlampir)</w:t>
      </w:r>
      <w:r>
        <w:t xml:space="preserve">. Investasi pada industri pengolahan dan pemurnian merupakan investasi yang besar dan membutuhkan pasokan barang mentah berupa mineral secara berkelanjutan. Di sisi lain, kondisi industri pertambangan saat ini sedang mengalami penurunan. Hal ini </w:t>
      </w:r>
      <w:r w:rsidR="0059681B">
        <w:t xml:space="preserve">disebabkan karena turunnya harga komoditas. </w:t>
      </w:r>
      <w:r w:rsidR="00F7622D">
        <w:t>Dengan tingkat produksi saat ini ketersediaan cadangan mineral di Indonesia semakin berkurang</w:t>
      </w:r>
      <w:r w:rsidR="0059681B">
        <w:t>. Berkurangnya cadangan mineral dapat berakibat pada fasilitas pengolahan dan pemurnian yang sudah produksi maupun masih dalam tahap pembangunan. Pasokan bahan mentah bagi industri fasilitas pengolahan dan pemurnian akan semakin berkurang.</w:t>
      </w:r>
    </w:p>
    <w:p w:rsidR="0059681B" w:rsidRDefault="0059681B" w:rsidP="008E4074">
      <w:pPr>
        <w:jc w:val="both"/>
      </w:pPr>
    </w:p>
    <w:p w:rsidR="0059681B" w:rsidRDefault="0059681B" w:rsidP="008E4074">
      <w:pPr>
        <w:jc w:val="both"/>
      </w:pPr>
      <w:r>
        <w:t>Hal lain yang perlu diperhatikan adalah adanya rencana untuk kembali memperbolehkan ekspor bijih mineral yang belum diolah. Hal ini akan menimbulkan kecenderungan untuk pengusaha sebisa mungkin mengekspor bijih mineral sebanyak-banyaknya. Hal ini juga dapat mengakibatkan berkurangnya pasokan mineral untuk fasil</w:t>
      </w:r>
      <w:r w:rsidR="005247FE">
        <w:t xml:space="preserve">itas pengolahan dan pemurnian. </w:t>
      </w:r>
      <w:r>
        <w:t xml:space="preserve">Focus Group Discussion ini diadakan sebagai sarana </w:t>
      </w:r>
      <w:r w:rsidR="005247FE">
        <w:t>pengumpulan</w:t>
      </w:r>
      <w:r>
        <w:t xml:space="preserve"> pemikiran dari berbagai stakeholder pertambangan dalam menentukan</w:t>
      </w:r>
      <w:r w:rsidR="00F7622D">
        <w:t xml:space="preserve"> keseimbangan produksi dan pasokan mineral pada smelter untuk berbagai komoditas</w:t>
      </w:r>
      <w:r w:rsidR="005247FE">
        <w:t>.</w:t>
      </w:r>
    </w:p>
    <w:p w:rsidR="005247FE" w:rsidRDefault="005247FE" w:rsidP="008E4074">
      <w:pPr>
        <w:jc w:val="both"/>
      </w:pPr>
    </w:p>
    <w:p w:rsidR="006C5B1B" w:rsidRDefault="006C5B1B" w:rsidP="008E4074">
      <w:pPr>
        <w:jc w:val="both"/>
      </w:pPr>
    </w:p>
    <w:p w:rsidR="006C5B1B" w:rsidRDefault="006C5B1B" w:rsidP="008E4074">
      <w:pPr>
        <w:jc w:val="both"/>
      </w:pPr>
    </w:p>
    <w:p w:rsidR="006C5B1B" w:rsidRDefault="006C5B1B" w:rsidP="006C5B1B">
      <w:pPr>
        <w:jc w:val="both"/>
      </w:pPr>
      <w:r>
        <w:lastRenderedPageBreak/>
        <w:t>Rencana Fasilitas Pengolahan dan Pemurnian Per Progress</w:t>
      </w:r>
    </w:p>
    <w:tbl>
      <w:tblPr>
        <w:tblStyle w:val="TableGrid"/>
        <w:tblW w:w="0" w:type="auto"/>
        <w:tblInd w:w="108" w:type="dxa"/>
        <w:tblLook w:val="04A0"/>
      </w:tblPr>
      <w:tblGrid>
        <w:gridCol w:w="675"/>
        <w:gridCol w:w="1593"/>
        <w:gridCol w:w="3119"/>
        <w:gridCol w:w="1275"/>
      </w:tblGrid>
      <w:tr w:rsidR="006C5B1B" w:rsidTr="00933024">
        <w:tc>
          <w:tcPr>
            <w:tcW w:w="675" w:type="dxa"/>
            <w:vAlign w:val="center"/>
          </w:tcPr>
          <w:p w:rsidR="006C5B1B" w:rsidRPr="003770A6" w:rsidRDefault="006C5B1B" w:rsidP="00933024">
            <w:pPr>
              <w:jc w:val="center"/>
              <w:rPr>
                <w:b/>
              </w:rPr>
            </w:pPr>
            <w:r w:rsidRPr="003770A6">
              <w:rPr>
                <w:b/>
              </w:rPr>
              <w:t>No</w:t>
            </w:r>
          </w:p>
        </w:tc>
        <w:tc>
          <w:tcPr>
            <w:tcW w:w="1593" w:type="dxa"/>
            <w:vAlign w:val="center"/>
          </w:tcPr>
          <w:p w:rsidR="006C5B1B" w:rsidRPr="003770A6" w:rsidRDefault="006C5B1B" w:rsidP="00933024">
            <w:pPr>
              <w:jc w:val="center"/>
              <w:rPr>
                <w:b/>
              </w:rPr>
            </w:pPr>
            <w:r w:rsidRPr="003770A6">
              <w:rPr>
                <w:b/>
              </w:rPr>
              <w:t>Progres (%)</w:t>
            </w:r>
          </w:p>
        </w:tc>
        <w:tc>
          <w:tcPr>
            <w:tcW w:w="3119" w:type="dxa"/>
            <w:vAlign w:val="center"/>
          </w:tcPr>
          <w:p w:rsidR="006C5B1B" w:rsidRPr="003770A6" w:rsidRDefault="006C5B1B" w:rsidP="00933024">
            <w:pPr>
              <w:jc w:val="center"/>
              <w:rPr>
                <w:b/>
              </w:rPr>
            </w:pPr>
            <w:r w:rsidRPr="003770A6">
              <w:rPr>
                <w:b/>
              </w:rPr>
              <w:t>Capaian Kegiatan</w:t>
            </w:r>
          </w:p>
        </w:tc>
        <w:tc>
          <w:tcPr>
            <w:tcW w:w="1275" w:type="dxa"/>
            <w:vAlign w:val="center"/>
          </w:tcPr>
          <w:p w:rsidR="006C5B1B" w:rsidRPr="003770A6" w:rsidRDefault="006C5B1B" w:rsidP="00933024">
            <w:pPr>
              <w:jc w:val="center"/>
              <w:rPr>
                <w:b/>
              </w:rPr>
            </w:pPr>
            <w:r w:rsidRPr="003770A6">
              <w:rPr>
                <w:b/>
              </w:rPr>
              <w:t>Jumlah Smelter</w:t>
            </w:r>
          </w:p>
        </w:tc>
      </w:tr>
      <w:tr w:rsidR="006C5B1B" w:rsidTr="00933024">
        <w:tc>
          <w:tcPr>
            <w:tcW w:w="675" w:type="dxa"/>
          </w:tcPr>
          <w:p w:rsidR="006C5B1B" w:rsidRDefault="006C5B1B" w:rsidP="00933024">
            <w:pPr>
              <w:jc w:val="center"/>
            </w:pPr>
            <w:r>
              <w:t>1</w:t>
            </w:r>
          </w:p>
        </w:tc>
        <w:tc>
          <w:tcPr>
            <w:tcW w:w="1593" w:type="dxa"/>
          </w:tcPr>
          <w:p w:rsidR="006C5B1B" w:rsidRDefault="006C5B1B" w:rsidP="00933024">
            <w:pPr>
              <w:jc w:val="center"/>
            </w:pPr>
            <w:r>
              <w:t>6-10</w:t>
            </w:r>
          </w:p>
        </w:tc>
        <w:tc>
          <w:tcPr>
            <w:tcW w:w="3119" w:type="dxa"/>
          </w:tcPr>
          <w:p w:rsidR="006C5B1B" w:rsidRDefault="006C5B1B" w:rsidP="00933024">
            <w:pPr>
              <w:jc w:val="both"/>
            </w:pPr>
            <w:r>
              <w:t>Pregres mencapai AMDAL</w:t>
            </w:r>
          </w:p>
        </w:tc>
        <w:tc>
          <w:tcPr>
            <w:tcW w:w="1275" w:type="dxa"/>
          </w:tcPr>
          <w:p w:rsidR="006C5B1B" w:rsidRDefault="006C5B1B" w:rsidP="00933024">
            <w:pPr>
              <w:jc w:val="center"/>
            </w:pPr>
            <w:r>
              <w:t>9</w:t>
            </w:r>
          </w:p>
        </w:tc>
      </w:tr>
      <w:tr w:rsidR="006C5B1B" w:rsidTr="00933024">
        <w:tc>
          <w:tcPr>
            <w:tcW w:w="675" w:type="dxa"/>
          </w:tcPr>
          <w:p w:rsidR="006C5B1B" w:rsidRDefault="006C5B1B" w:rsidP="00933024">
            <w:pPr>
              <w:jc w:val="center"/>
            </w:pPr>
            <w:r>
              <w:t>2</w:t>
            </w:r>
          </w:p>
        </w:tc>
        <w:tc>
          <w:tcPr>
            <w:tcW w:w="1593" w:type="dxa"/>
          </w:tcPr>
          <w:p w:rsidR="006C5B1B" w:rsidRDefault="006C5B1B" w:rsidP="00933024">
            <w:pPr>
              <w:jc w:val="center"/>
            </w:pPr>
            <w:r>
              <w:t>11-30</w:t>
            </w:r>
          </w:p>
        </w:tc>
        <w:tc>
          <w:tcPr>
            <w:tcW w:w="3119" w:type="dxa"/>
          </w:tcPr>
          <w:p w:rsidR="006C5B1B" w:rsidRDefault="006C5B1B" w:rsidP="00933024">
            <w:pPr>
              <w:jc w:val="both"/>
            </w:pPr>
            <w:r>
              <w:t>Progres mencapai Ground Breaking dan Awal Konstruksi Pabrik</w:t>
            </w:r>
          </w:p>
        </w:tc>
        <w:tc>
          <w:tcPr>
            <w:tcW w:w="1275" w:type="dxa"/>
          </w:tcPr>
          <w:p w:rsidR="006C5B1B" w:rsidRDefault="006C5B1B" w:rsidP="00933024">
            <w:pPr>
              <w:jc w:val="center"/>
            </w:pPr>
            <w:r>
              <w:t>15</w:t>
            </w:r>
          </w:p>
        </w:tc>
      </w:tr>
      <w:tr w:rsidR="006C5B1B" w:rsidTr="00933024">
        <w:tc>
          <w:tcPr>
            <w:tcW w:w="675" w:type="dxa"/>
          </w:tcPr>
          <w:p w:rsidR="006C5B1B" w:rsidRDefault="006C5B1B" w:rsidP="00933024">
            <w:pPr>
              <w:jc w:val="center"/>
            </w:pPr>
            <w:r>
              <w:t>3</w:t>
            </w:r>
          </w:p>
        </w:tc>
        <w:tc>
          <w:tcPr>
            <w:tcW w:w="1593" w:type="dxa"/>
          </w:tcPr>
          <w:p w:rsidR="006C5B1B" w:rsidRDefault="006C5B1B" w:rsidP="00933024">
            <w:pPr>
              <w:jc w:val="center"/>
            </w:pPr>
            <w:r>
              <w:t>31-50</w:t>
            </w:r>
          </w:p>
        </w:tc>
        <w:tc>
          <w:tcPr>
            <w:tcW w:w="3119" w:type="dxa"/>
          </w:tcPr>
          <w:p w:rsidR="006C5B1B" w:rsidRDefault="006C5B1B" w:rsidP="00933024">
            <w:pPr>
              <w:jc w:val="both"/>
            </w:pPr>
            <w:r>
              <w:t>Progres mencapai Pertengahan Tahap Konstruksi Pabrik</w:t>
            </w:r>
          </w:p>
        </w:tc>
        <w:tc>
          <w:tcPr>
            <w:tcW w:w="1275" w:type="dxa"/>
          </w:tcPr>
          <w:p w:rsidR="006C5B1B" w:rsidRDefault="006C5B1B" w:rsidP="00933024">
            <w:pPr>
              <w:jc w:val="center"/>
            </w:pPr>
            <w:r>
              <w:t>13</w:t>
            </w:r>
          </w:p>
        </w:tc>
      </w:tr>
      <w:tr w:rsidR="006C5B1B" w:rsidTr="00933024">
        <w:tc>
          <w:tcPr>
            <w:tcW w:w="675" w:type="dxa"/>
          </w:tcPr>
          <w:p w:rsidR="006C5B1B" w:rsidRDefault="006C5B1B" w:rsidP="00933024">
            <w:pPr>
              <w:jc w:val="center"/>
            </w:pPr>
            <w:r>
              <w:t>4</w:t>
            </w:r>
          </w:p>
        </w:tc>
        <w:tc>
          <w:tcPr>
            <w:tcW w:w="1593" w:type="dxa"/>
          </w:tcPr>
          <w:p w:rsidR="006C5B1B" w:rsidRDefault="006C5B1B" w:rsidP="00933024">
            <w:pPr>
              <w:jc w:val="center"/>
            </w:pPr>
            <w:r>
              <w:t>51-80</w:t>
            </w:r>
          </w:p>
        </w:tc>
        <w:tc>
          <w:tcPr>
            <w:tcW w:w="3119" w:type="dxa"/>
          </w:tcPr>
          <w:p w:rsidR="006C5B1B" w:rsidRDefault="006C5B1B" w:rsidP="00933024">
            <w:pPr>
              <w:jc w:val="both"/>
            </w:pPr>
            <w:r>
              <w:t>Progres mencapai Akhir Tahap Konstruksi</w:t>
            </w:r>
          </w:p>
        </w:tc>
        <w:tc>
          <w:tcPr>
            <w:tcW w:w="1275" w:type="dxa"/>
          </w:tcPr>
          <w:p w:rsidR="006C5B1B" w:rsidRDefault="006C5B1B" w:rsidP="00933024">
            <w:pPr>
              <w:jc w:val="center"/>
            </w:pPr>
            <w:r>
              <w:t>9</w:t>
            </w:r>
          </w:p>
        </w:tc>
      </w:tr>
      <w:tr w:rsidR="006C5B1B" w:rsidTr="00933024">
        <w:tc>
          <w:tcPr>
            <w:tcW w:w="675" w:type="dxa"/>
          </w:tcPr>
          <w:p w:rsidR="006C5B1B" w:rsidRDefault="006C5B1B" w:rsidP="00933024">
            <w:pPr>
              <w:jc w:val="center"/>
            </w:pPr>
            <w:r>
              <w:t>5</w:t>
            </w:r>
          </w:p>
        </w:tc>
        <w:tc>
          <w:tcPr>
            <w:tcW w:w="1593" w:type="dxa"/>
          </w:tcPr>
          <w:p w:rsidR="006C5B1B" w:rsidRDefault="006C5B1B" w:rsidP="00933024">
            <w:pPr>
              <w:jc w:val="center"/>
            </w:pPr>
            <w:r>
              <w:t>81-100</w:t>
            </w:r>
          </w:p>
        </w:tc>
        <w:tc>
          <w:tcPr>
            <w:tcW w:w="3119" w:type="dxa"/>
          </w:tcPr>
          <w:p w:rsidR="006C5B1B" w:rsidRDefault="006C5B1B" w:rsidP="00933024">
            <w:pPr>
              <w:jc w:val="both"/>
            </w:pPr>
            <w:r>
              <w:t>Progres mencapai tahap commissioning/ Produksi</w:t>
            </w:r>
          </w:p>
        </w:tc>
        <w:tc>
          <w:tcPr>
            <w:tcW w:w="1275" w:type="dxa"/>
          </w:tcPr>
          <w:p w:rsidR="006C5B1B" w:rsidRDefault="006C5B1B" w:rsidP="00933024">
            <w:pPr>
              <w:jc w:val="center"/>
            </w:pPr>
            <w:r>
              <w:t>25</w:t>
            </w:r>
          </w:p>
        </w:tc>
      </w:tr>
      <w:tr w:rsidR="006C5B1B" w:rsidTr="00933024">
        <w:tc>
          <w:tcPr>
            <w:tcW w:w="5387" w:type="dxa"/>
            <w:gridSpan w:val="3"/>
          </w:tcPr>
          <w:p w:rsidR="006C5B1B" w:rsidRDefault="006C5B1B" w:rsidP="00933024">
            <w:pPr>
              <w:jc w:val="center"/>
            </w:pPr>
            <w:r>
              <w:t>Total</w:t>
            </w:r>
          </w:p>
        </w:tc>
        <w:tc>
          <w:tcPr>
            <w:tcW w:w="1275" w:type="dxa"/>
          </w:tcPr>
          <w:p w:rsidR="006C5B1B" w:rsidRDefault="006C5B1B" w:rsidP="00933024">
            <w:pPr>
              <w:jc w:val="center"/>
            </w:pPr>
            <w:r>
              <w:t>71</w:t>
            </w:r>
          </w:p>
        </w:tc>
      </w:tr>
    </w:tbl>
    <w:p w:rsidR="006C5B1B" w:rsidRDefault="006C5B1B" w:rsidP="006C5B1B">
      <w:pPr>
        <w:jc w:val="both"/>
      </w:pPr>
    </w:p>
    <w:p w:rsidR="006C5B1B" w:rsidRDefault="006C5B1B" w:rsidP="006C5B1B">
      <w:pPr>
        <w:jc w:val="both"/>
      </w:pPr>
      <w:r>
        <w:t>Fasilitas Pengolahan dan Pemurnian yang Akan Beroperasi</w:t>
      </w:r>
    </w:p>
    <w:tbl>
      <w:tblPr>
        <w:tblStyle w:val="TableGrid"/>
        <w:tblW w:w="0" w:type="auto"/>
        <w:tblInd w:w="108" w:type="dxa"/>
        <w:tblLook w:val="04A0"/>
      </w:tblPr>
      <w:tblGrid>
        <w:gridCol w:w="851"/>
        <w:gridCol w:w="1417"/>
        <w:gridCol w:w="4395"/>
      </w:tblGrid>
      <w:tr w:rsidR="006C5B1B" w:rsidRPr="003770A6" w:rsidTr="00933024">
        <w:tc>
          <w:tcPr>
            <w:tcW w:w="851" w:type="dxa"/>
            <w:vAlign w:val="center"/>
          </w:tcPr>
          <w:p w:rsidR="006C5B1B" w:rsidRPr="003770A6" w:rsidRDefault="006C5B1B" w:rsidP="00933024">
            <w:pPr>
              <w:jc w:val="center"/>
              <w:rPr>
                <w:b/>
              </w:rPr>
            </w:pPr>
            <w:r>
              <w:rPr>
                <w:b/>
              </w:rPr>
              <w:t>Tahun</w:t>
            </w:r>
          </w:p>
        </w:tc>
        <w:tc>
          <w:tcPr>
            <w:tcW w:w="1417" w:type="dxa"/>
            <w:vAlign w:val="center"/>
          </w:tcPr>
          <w:p w:rsidR="006C5B1B" w:rsidRPr="003770A6" w:rsidRDefault="006C5B1B" w:rsidP="00933024">
            <w:pPr>
              <w:jc w:val="center"/>
              <w:rPr>
                <w:b/>
              </w:rPr>
            </w:pPr>
            <w:r>
              <w:rPr>
                <w:b/>
              </w:rPr>
              <w:t>Jumlah Smelter</w:t>
            </w:r>
          </w:p>
        </w:tc>
        <w:tc>
          <w:tcPr>
            <w:tcW w:w="4395" w:type="dxa"/>
            <w:vAlign w:val="center"/>
          </w:tcPr>
          <w:p w:rsidR="006C5B1B" w:rsidRPr="003770A6" w:rsidRDefault="006C5B1B" w:rsidP="00933024">
            <w:pPr>
              <w:jc w:val="center"/>
              <w:rPr>
                <w:b/>
              </w:rPr>
            </w:pPr>
            <w:r>
              <w:rPr>
                <w:b/>
              </w:rPr>
              <w:t>Rincian per Komodias</w:t>
            </w:r>
          </w:p>
        </w:tc>
      </w:tr>
      <w:tr w:rsidR="006C5B1B" w:rsidTr="00933024">
        <w:tc>
          <w:tcPr>
            <w:tcW w:w="851" w:type="dxa"/>
          </w:tcPr>
          <w:p w:rsidR="006C5B1B" w:rsidRDefault="006C5B1B" w:rsidP="00933024">
            <w:pPr>
              <w:jc w:val="center"/>
            </w:pPr>
            <w:r>
              <w:t>2016</w:t>
            </w:r>
          </w:p>
        </w:tc>
        <w:tc>
          <w:tcPr>
            <w:tcW w:w="1417" w:type="dxa"/>
          </w:tcPr>
          <w:p w:rsidR="006C5B1B" w:rsidRDefault="006C5B1B" w:rsidP="00933024">
            <w:pPr>
              <w:jc w:val="center"/>
            </w:pPr>
            <w:r>
              <w:t>4</w:t>
            </w:r>
          </w:p>
        </w:tc>
        <w:tc>
          <w:tcPr>
            <w:tcW w:w="4395" w:type="dxa"/>
          </w:tcPr>
          <w:p w:rsidR="006C5B1B" w:rsidRDefault="006C5B1B" w:rsidP="00933024">
            <w:r>
              <w:t>2 Nikel, 1 Bauksit, 1 Timbal</w:t>
            </w:r>
          </w:p>
        </w:tc>
      </w:tr>
      <w:tr w:rsidR="006C5B1B" w:rsidTr="00933024">
        <w:tc>
          <w:tcPr>
            <w:tcW w:w="851" w:type="dxa"/>
          </w:tcPr>
          <w:p w:rsidR="006C5B1B" w:rsidRDefault="006C5B1B" w:rsidP="00933024">
            <w:pPr>
              <w:jc w:val="center"/>
            </w:pPr>
            <w:r>
              <w:t>2017</w:t>
            </w:r>
          </w:p>
        </w:tc>
        <w:tc>
          <w:tcPr>
            <w:tcW w:w="1417" w:type="dxa"/>
          </w:tcPr>
          <w:p w:rsidR="006C5B1B" w:rsidRDefault="006C5B1B" w:rsidP="00933024">
            <w:pPr>
              <w:jc w:val="center"/>
            </w:pPr>
            <w:r>
              <w:t>5</w:t>
            </w:r>
          </w:p>
        </w:tc>
        <w:tc>
          <w:tcPr>
            <w:tcW w:w="4395" w:type="dxa"/>
          </w:tcPr>
          <w:p w:rsidR="006C5B1B" w:rsidRDefault="006C5B1B" w:rsidP="00933024">
            <w:r>
              <w:t>1 Nikel, 1 Bijih besi, 1 Seng, 2 Timbal dan Seng</w:t>
            </w:r>
          </w:p>
        </w:tc>
      </w:tr>
      <w:tr w:rsidR="006C5B1B" w:rsidTr="00933024">
        <w:tc>
          <w:tcPr>
            <w:tcW w:w="851" w:type="dxa"/>
          </w:tcPr>
          <w:p w:rsidR="006C5B1B" w:rsidRDefault="006C5B1B" w:rsidP="00933024">
            <w:pPr>
              <w:jc w:val="center"/>
            </w:pPr>
            <w:r>
              <w:t>2018</w:t>
            </w:r>
          </w:p>
        </w:tc>
        <w:tc>
          <w:tcPr>
            <w:tcW w:w="1417" w:type="dxa"/>
          </w:tcPr>
          <w:p w:rsidR="006C5B1B" w:rsidRDefault="006C5B1B" w:rsidP="00933024">
            <w:pPr>
              <w:jc w:val="center"/>
            </w:pPr>
            <w:r>
              <w:t>2</w:t>
            </w:r>
          </w:p>
        </w:tc>
        <w:tc>
          <w:tcPr>
            <w:tcW w:w="4395" w:type="dxa"/>
          </w:tcPr>
          <w:p w:rsidR="006C5B1B" w:rsidRDefault="006C5B1B" w:rsidP="00933024">
            <w:r>
              <w:t>1 Nikel, 1 Pasirbesi</w:t>
            </w:r>
          </w:p>
        </w:tc>
      </w:tr>
      <w:tr w:rsidR="006C5B1B" w:rsidTr="00933024">
        <w:tc>
          <w:tcPr>
            <w:tcW w:w="851" w:type="dxa"/>
          </w:tcPr>
          <w:p w:rsidR="006C5B1B" w:rsidRDefault="006C5B1B" w:rsidP="00933024">
            <w:pPr>
              <w:jc w:val="center"/>
            </w:pPr>
            <w:r>
              <w:t>2019</w:t>
            </w:r>
          </w:p>
        </w:tc>
        <w:tc>
          <w:tcPr>
            <w:tcW w:w="1417" w:type="dxa"/>
          </w:tcPr>
          <w:p w:rsidR="006C5B1B" w:rsidRDefault="006C5B1B" w:rsidP="00933024">
            <w:pPr>
              <w:jc w:val="center"/>
            </w:pPr>
            <w:r>
              <w:t>1</w:t>
            </w:r>
          </w:p>
        </w:tc>
        <w:tc>
          <w:tcPr>
            <w:tcW w:w="4395" w:type="dxa"/>
          </w:tcPr>
          <w:p w:rsidR="006C5B1B" w:rsidRDefault="006C5B1B" w:rsidP="00933024">
            <w:r>
              <w:t>1 Nikel</w:t>
            </w:r>
          </w:p>
        </w:tc>
      </w:tr>
      <w:tr w:rsidR="006C5B1B" w:rsidTr="00933024">
        <w:tc>
          <w:tcPr>
            <w:tcW w:w="851" w:type="dxa"/>
            <w:vAlign w:val="center"/>
          </w:tcPr>
          <w:p w:rsidR="006C5B1B" w:rsidRDefault="006C5B1B" w:rsidP="00933024">
            <w:pPr>
              <w:jc w:val="center"/>
            </w:pPr>
            <w:r>
              <w:t>Total</w:t>
            </w:r>
          </w:p>
        </w:tc>
        <w:tc>
          <w:tcPr>
            <w:tcW w:w="1417" w:type="dxa"/>
            <w:vAlign w:val="center"/>
          </w:tcPr>
          <w:p w:rsidR="006C5B1B" w:rsidRDefault="006C5B1B" w:rsidP="00933024">
            <w:pPr>
              <w:jc w:val="center"/>
            </w:pPr>
            <w:r>
              <w:t>12</w:t>
            </w:r>
          </w:p>
        </w:tc>
        <w:tc>
          <w:tcPr>
            <w:tcW w:w="4395" w:type="dxa"/>
          </w:tcPr>
          <w:p w:rsidR="006C5B1B" w:rsidRDefault="006C5B1B" w:rsidP="00933024">
            <w:r>
              <w:t>5 Nikel, 1 Bauksit, 1 Timbal, 1 Bijih Besi, 1 Seng, 2 Timbal dan Seng, 1 Pasir Besi</w:t>
            </w:r>
          </w:p>
        </w:tc>
      </w:tr>
    </w:tbl>
    <w:p w:rsidR="006C5B1B" w:rsidRDefault="006C5B1B" w:rsidP="006C5B1B">
      <w:pPr>
        <w:jc w:val="both"/>
      </w:pPr>
    </w:p>
    <w:p w:rsidR="006C5B1B" w:rsidRDefault="006C5B1B" w:rsidP="006C5B1B">
      <w:pPr>
        <w:jc w:val="both"/>
      </w:pPr>
      <w:r>
        <w:t>Sumber: Dirjen Minerba, 2016</w:t>
      </w:r>
    </w:p>
    <w:p w:rsidR="005247FE" w:rsidRDefault="005247FE" w:rsidP="008E4074">
      <w:pPr>
        <w:jc w:val="both"/>
      </w:pPr>
    </w:p>
    <w:p w:rsidR="0059681B" w:rsidRPr="0059681B" w:rsidRDefault="0059681B" w:rsidP="0059681B">
      <w:pPr>
        <w:pStyle w:val="ListParagraph"/>
        <w:numPr>
          <w:ilvl w:val="0"/>
          <w:numId w:val="1"/>
        </w:numPr>
        <w:ind w:left="360"/>
        <w:jc w:val="both"/>
        <w:rPr>
          <w:b/>
        </w:rPr>
      </w:pPr>
      <w:r w:rsidRPr="0059681B">
        <w:rPr>
          <w:b/>
        </w:rPr>
        <w:t>Tujuan</w:t>
      </w:r>
    </w:p>
    <w:p w:rsidR="0059681B" w:rsidRDefault="005247FE" w:rsidP="005247FE">
      <w:pPr>
        <w:jc w:val="both"/>
      </w:pPr>
      <w:r>
        <w:t xml:space="preserve">Focus Group Discussion ini bertujuan sebagai sarana pengumpulan pemikiran dari berbagai stakeholder pertambangan dalam menentukan keseimbangan neraca material (material balance) antara ketersediaan </w:t>
      </w:r>
      <w:r w:rsidR="00F7622D">
        <w:t xml:space="preserve">cadangan </w:t>
      </w:r>
      <w:r>
        <w:t>mineral untuk diolah</w:t>
      </w:r>
      <w:r w:rsidR="00F7622D">
        <w:t>, tingkat produksi,</w:t>
      </w:r>
      <w:r>
        <w:t xml:space="preserve"> dan </w:t>
      </w:r>
      <w:r w:rsidR="00F7622D">
        <w:t>kebutuhan pasokan smelter untuk berbagai komoditas</w:t>
      </w:r>
      <w:r>
        <w:t>.</w:t>
      </w:r>
    </w:p>
    <w:p w:rsidR="005247FE" w:rsidRDefault="005247FE" w:rsidP="005247FE">
      <w:pPr>
        <w:jc w:val="both"/>
      </w:pPr>
    </w:p>
    <w:p w:rsidR="005247FE" w:rsidRDefault="005247FE" w:rsidP="005247FE">
      <w:pPr>
        <w:pStyle w:val="ListParagraph"/>
        <w:numPr>
          <w:ilvl w:val="0"/>
          <w:numId w:val="1"/>
        </w:numPr>
        <w:ind w:left="360"/>
        <w:jc w:val="both"/>
        <w:rPr>
          <w:b/>
        </w:rPr>
      </w:pPr>
      <w:r>
        <w:rPr>
          <w:b/>
        </w:rPr>
        <w:t>Jadwal Pelaksanaan</w:t>
      </w:r>
    </w:p>
    <w:p w:rsidR="005247FE" w:rsidRDefault="006C5B1B" w:rsidP="005247FE">
      <w:pPr>
        <w:tabs>
          <w:tab w:val="left" w:pos="1800"/>
        </w:tabs>
        <w:jc w:val="both"/>
      </w:pPr>
      <w:r>
        <w:t>Hari dan Tanggal</w:t>
      </w:r>
      <w:r>
        <w:tab/>
        <w:t xml:space="preserve">: </w:t>
      </w:r>
      <w:r w:rsidR="00B12DD2">
        <w:t xml:space="preserve">26 </w:t>
      </w:r>
      <w:r>
        <w:t>Mei</w:t>
      </w:r>
      <w:r w:rsidR="005247FE" w:rsidRPr="005247FE">
        <w:t xml:space="preserve"> 2016</w:t>
      </w:r>
    </w:p>
    <w:p w:rsidR="005247FE" w:rsidRDefault="005247FE" w:rsidP="005247FE">
      <w:pPr>
        <w:tabs>
          <w:tab w:val="left" w:pos="1800"/>
        </w:tabs>
        <w:jc w:val="both"/>
      </w:pPr>
      <w:r>
        <w:t>Waktu</w:t>
      </w:r>
      <w:r>
        <w:tab/>
        <w:t xml:space="preserve">: </w:t>
      </w:r>
      <w:r w:rsidR="00270B98">
        <w:t>08.30 -17</w:t>
      </w:r>
      <w:r w:rsidR="006C5B1B">
        <w:t>.00</w:t>
      </w:r>
    </w:p>
    <w:p w:rsidR="005247FE" w:rsidRDefault="005247FE" w:rsidP="005247FE">
      <w:pPr>
        <w:tabs>
          <w:tab w:val="left" w:pos="1800"/>
        </w:tabs>
        <w:jc w:val="both"/>
      </w:pPr>
      <w:r>
        <w:t>Tempat</w:t>
      </w:r>
      <w:r>
        <w:tab/>
        <w:t>:</w:t>
      </w:r>
      <w:r w:rsidR="004D53F2">
        <w:t xml:space="preserve"> Gedung Tempo Scan Lt. </w:t>
      </w:r>
      <w:r w:rsidR="00A47E0F">
        <w:t>29 Ruang Meritocracy</w:t>
      </w:r>
    </w:p>
    <w:p w:rsidR="005247FE" w:rsidRPr="005247FE" w:rsidRDefault="005247FE" w:rsidP="005247FE">
      <w:pPr>
        <w:tabs>
          <w:tab w:val="left" w:pos="1800"/>
        </w:tabs>
        <w:jc w:val="both"/>
      </w:pPr>
    </w:p>
    <w:p w:rsidR="00305815" w:rsidRDefault="00305815" w:rsidP="005247FE">
      <w:pPr>
        <w:pStyle w:val="ListParagraph"/>
        <w:numPr>
          <w:ilvl w:val="0"/>
          <w:numId w:val="1"/>
        </w:numPr>
        <w:ind w:left="360"/>
        <w:jc w:val="both"/>
        <w:rPr>
          <w:b/>
        </w:rPr>
      </w:pPr>
      <w:r>
        <w:rPr>
          <w:b/>
        </w:rPr>
        <w:lastRenderedPageBreak/>
        <w:t>Peserta</w:t>
      </w:r>
    </w:p>
    <w:p w:rsidR="00305815" w:rsidRDefault="00305815" w:rsidP="00305815">
      <w:pPr>
        <w:pStyle w:val="ListParagraph"/>
        <w:ind w:left="360"/>
        <w:jc w:val="both"/>
        <w:rPr>
          <w:b/>
        </w:rPr>
      </w:pPr>
    </w:p>
    <w:p w:rsidR="00305815" w:rsidRDefault="00305815" w:rsidP="00305815">
      <w:pPr>
        <w:pStyle w:val="ListParagraph"/>
        <w:ind w:left="0"/>
        <w:jc w:val="both"/>
      </w:pPr>
      <w:r>
        <w:t>Peserta dari FGD ini diperkirakan antara 100-150 orang adalah dari :</w:t>
      </w:r>
    </w:p>
    <w:p w:rsidR="00305815" w:rsidRDefault="00305815" w:rsidP="00305815">
      <w:pPr>
        <w:pStyle w:val="ListParagraph"/>
        <w:ind w:left="0"/>
        <w:jc w:val="both"/>
      </w:pPr>
    </w:p>
    <w:p w:rsidR="00305815" w:rsidRDefault="00305815" w:rsidP="00305815">
      <w:pPr>
        <w:pStyle w:val="ListParagraph"/>
        <w:numPr>
          <w:ilvl w:val="0"/>
          <w:numId w:val="5"/>
        </w:numPr>
        <w:jc w:val="both"/>
      </w:pPr>
      <w:r>
        <w:t>Direktorat Mineral dan Batubara, Kementerian ESDM</w:t>
      </w:r>
    </w:p>
    <w:p w:rsidR="00305815" w:rsidRDefault="00305815" w:rsidP="00305815">
      <w:pPr>
        <w:pStyle w:val="ListParagraph"/>
        <w:numPr>
          <w:ilvl w:val="0"/>
          <w:numId w:val="5"/>
        </w:numPr>
        <w:jc w:val="both"/>
      </w:pPr>
      <w:r>
        <w:t xml:space="preserve">Direktorta Industri Logam, Mesin, Alat Transportasi, dan Elektronika, Kementerian Perindustrian. </w:t>
      </w:r>
    </w:p>
    <w:p w:rsidR="00305815" w:rsidRDefault="00305815" w:rsidP="00305815">
      <w:pPr>
        <w:pStyle w:val="ListParagraph"/>
        <w:numPr>
          <w:ilvl w:val="0"/>
          <w:numId w:val="5"/>
        </w:numPr>
        <w:jc w:val="both"/>
      </w:pPr>
      <w:r>
        <w:t>PT. Penjamin Infrastruktur Indonesia</w:t>
      </w:r>
    </w:p>
    <w:p w:rsidR="00305815" w:rsidRDefault="00305815" w:rsidP="00305815">
      <w:pPr>
        <w:pStyle w:val="ListParagraph"/>
        <w:numPr>
          <w:ilvl w:val="0"/>
          <w:numId w:val="5"/>
        </w:numPr>
        <w:jc w:val="both"/>
      </w:pPr>
      <w:r>
        <w:t>Perusahaan Tambang Mineral.</w:t>
      </w:r>
    </w:p>
    <w:p w:rsidR="00305815" w:rsidRDefault="00305815" w:rsidP="00305815">
      <w:pPr>
        <w:pStyle w:val="ListParagraph"/>
        <w:numPr>
          <w:ilvl w:val="0"/>
          <w:numId w:val="5"/>
        </w:numPr>
        <w:jc w:val="both"/>
      </w:pPr>
      <w:r>
        <w:t>Perusahaan Smelter</w:t>
      </w:r>
    </w:p>
    <w:p w:rsidR="00305815" w:rsidRDefault="00305815" w:rsidP="00305815">
      <w:pPr>
        <w:pStyle w:val="ListParagraph"/>
        <w:numPr>
          <w:ilvl w:val="0"/>
          <w:numId w:val="5"/>
        </w:numPr>
        <w:jc w:val="both"/>
      </w:pPr>
      <w:r>
        <w:t>Assosiasi Pertambangan Mineral</w:t>
      </w:r>
    </w:p>
    <w:p w:rsidR="00305815" w:rsidRDefault="00305815" w:rsidP="00305815">
      <w:pPr>
        <w:pStyle w:val="ListParagraph"/>
        <w:numPr>
          <w:ilvl w:val="0"/>
          <w:numId w:val="5"/>
        </w:numPr>
        <w:jc w:val="both"/>
      </w:pPr>
      <w:r>
        <w:t>Assosisiasi Smelter</w:t>
      </w:r>
    </w:p>
    <w:p w:rsidR="00305815" w:rsidRPr="00305815" w:rsidRDefault="00305815" w:rsidP="00305815">
      <w:pPr>
        <w:pStyle w:val="ListParagraph"/>
        <w:ind w:left="360"/>
        <w:jc w:val="both"/>
      </w:pPr>
    </w:p>
    <w:p w:rsidR="005247FE" w:rsidRDefault="005247FE" w:rsidP="005247FE">
      <w:pPr>
        <w:pStyle w:val="ListParagraph"/>
        <w:numPr>
          <w:ilvl w:val="0"/>
          <w:numId w:val="1"/>
        </w:numPr>
        <w:ind w:left="360"/>
        <w:jc w:val="both"/>
        <w:rPr>
          <w:b/>
        </w:rPr>
      </w:pPr>
      <w:r>
        <w:rPr>
          <w:b/>
        </w:rPr>
        <w:t>Pembicara</w:t>
      </w:r>
    </w:p>
    <w:p w:rsidR="005247FE" w:rsidRDefault="005247FE" w:rsidP="005247FE">
      <w:pPr>
        <w:pStyle w:val="ListParagraph"/>
        <w:ind w:left="360"/>
        <w:jc w:val="both"/>
        <w:rPr>
          <w:b/>
        </w:rPr>
      </w:pPr>
    </w:p>
    <w:p w:rsidR="006C5B1B" w:rsidRPr="006C5B1B" w:rsidRDefault="006C5B1B" w:rsidP="006C5B1B">
      <w:pPr>
        <w:pStyle w:val="ListParagraph"/>
        <w:numPr>
          <w:ilvl w:val="0"/>
          <w:numId w:val="2"/>
        </w:numPr>
        <w:ind w:left="450"/>
      </w:pPr>
      <w:r w:rsidRPr="006C5B1B">
        <w:t xml:space="preserve">Ir. I Gusti </w:t>
      </w:r>
      <w:r w:rsidR="00305815">
        <w:t xml:space="preserve"> </w:t>
      </w:r>
      <w:r w:rsidRPr="006C5B1B">
        <w:t>Putu Suryawirawan - Direktur Jenderal</w:t>
      </w:r>
      <w:r w:rsidR="00305815">
        <w:t xml:space="preserve"> </w:t>
      </w:r>
      <w:r w:rsidRPr="006C5B1B">
        <w:t xml:space="preserve"> Industri</w:t>
      </w:r>
      <w:r w:rsidR="00305815">
        <w:t xml:space="preserve"> </w:t>
      </w:r>
      <w:r w:rsidRPr="006C5B1B">
        <w:t xml:space="preserve"> Logam, Mesin, Alat Transportasi, dan Elektronika Kementerian Perindustrian.</w:t>
      </w:r>
    </w:p>
    <w:p w:rsidR="005247FE" w:rsidRDefault="005247FE" w:rsidP="005247FE">
      <w:pPr>
        <w:pStyle w:val="ListParagraph"/>
        <w:numPr>
          <w:ilvl w:val="0"/>
          <w:numId w:val="2"/>
        </w:numPr>
        <w:ind w:left="450"/>
        <w:jc w:val="both"/>
      </w:pPr>
      <w:r>
        <w:t>Ir. Mohammad Hidayat - Direktur Pembinaan Pengusahaan Mineral, Direktorat Mineral dan Batubara K</w:t>
      </w:r>
      <w:r w:rsidR="00F7622D">
        <w:t>ementerian ESDM</w:t>
      </w:r>
      <w:r w:rsidR="00A248EB">
        <w:t>.</w:t>
      </w:r>
    </w:p>
    <w:p w:rsidR="005247FE" w:rsidRDefault="005247FE" w:rsidP="005247FE">
      <w:pPr>
        <w:pStyle w:val="ListParagraph"/>
        <w:numPr>
          <w:ilvl w:val="0"/>
          <w:numId w:val="2"/>
        </w:numPr>
        <w:ind w:left="450"/>
        <w:jc w:val="both"/>
      </w:pPr>
      <w:r>
        <w:t>Sri Rahardjo M.Eng.Sc – Direktur Pembinaan Program Mineral dan Batubara, Direktorat Mineral dan Batubara K</w:t>
      </w:r>
      <w:r w:rsidR="00F7622D">
        <w:t>ementerian ESDM</w:t>
      </w:r>
      <w:r w:rsidR="00A248EB">
        <w:t>.</w:t>
      </w:r>
    </w:p>
    <w:p w:rsidR="006C5B1B" w:rsidRDefault="006C5B1B" w:rsidP="006C5B1B">
      <w:pPr>
        <w:pStyle w:val="ListParagraph"/>
        <w:numPr>
          <w:ilvl w:val="0"/>
          <w:numId w:val="2"/>
        </w:numPr>
        <w:ind w:left="450"/>
        <w:jc w:val="both"/>
      </w:pPr>
      <w:r w:rsidRPr="006C5B1B">
        <w:t>Sinthya Roesly – Direktur Utama PT Penjamin Infrastruktur Indonesia.</w:t>
      </w:r>
    </w:p>
    <w:p w:rsidR="006C5B1B" w:rsidRDefault="006C5B1B" w:rsidP="006C5B1B">
      <w:pPr>
        <w:pStyle w:val="ListParagraph"/>
        <w:numPr>
          <w:ilvl w:val="0"/>
          <w:numId w:val="2"/>
        </w:numPr>
        <w:ind w:left="450"/>
        <w:jc w:val="both"/>
      </w:pPr>
      <w:r w:rsidRPr="006C5B1B">
        <w:t>DR. Ir. Sukhyar – Ketua Indonesian Smelter and Mineral Processing Association (ISPA).</w:t>
      </w:r>
    </w:p>
    <w:p w:rsidR="005247FE" w:rsidRDefault="006C5B1B" w:rsidP="005247FE">
      <w:pPr>
        <w:pStyle w:val="ListParagraph"/>
        <w:numPr>
          <w:ilvl w:val="0"/>
          <w:numId w:val="2"/>
        </w:numPr>
        <w:ind w:left="450"/>
        <w:jc w:val="both"/>
      </w:pPr>
      <w:r>
        <w:t xml:space="preserve">Ir. Ladjiman Damanik – Direktur Eksekutif </w:t>
      </w:r>
      <w:r w:rsidR="005247FE">
        <w:t xml:space="preserve"> Asosiasi Pengusaha Mineral Indonesia</w:t>
      </w:r>
      <w:r w:rsidR="00A248EB">
        <w:t>.</w:t>
      </w:r>
    </w:p>
    <w:p w:rsidR="006C5B1B" w:rsidRDefault="006C5B1B" w:rsidP="005247FE">
      <w:pPr>
        <w:pStyle w:val="ListParagraph"/>
        <w:numPr>
          <w:ilvl w:val="0"/>
          <w:numId w:val="2"/>
        </w:numPr>
        <w:ind w:left="450"/>
        <w:jc w:val="both"/>
      </w:pPr>
      <w:r>
        <w:t>Presiden Direktur PT. Freeport Indonesia.</w:t>
      </w:r>
    </w:p>
    <w:p w:rsidR="006C5B1B" w:rsidRDefault="006C5B1B" w:rsidP="005247FE">
      <w:pPr>
        <w:pStyle w:val="ListParagraph"/>
        <w:numPr>
          <w:ilvl w:val="0"/>
          <w:numId w:val="2"/>
        </w:numPr>
        <w:ind w:left="450"/>
        <w:jc w:val="both"/>
      </w:pPr>
      <w:r>
        <w:t>Presiden Direktur PT. Vale Indonesia</w:t>
      </w:r>
    </w:p>
    <w:p w:rsidR="006C5B1B" w:rsidRDefault="006C5B1B" w:rsidP="005247FE">
      <w:pPr>
        <w:pStyle w:val="ListParagraph"/>
        <w:numPr>
          <w:ilvl w:val="0"/>
          <w:numId w:val="2"/>
        </w:numPr>
        <w:ind w:left="450"/>
        <w:jc w:val="both"/>
      </w:pPr>
      <w:r>
        <w:t xml:space="preserve">Presiden Direktur PT. Inalum </w:t>
      </w:r>
    </w:p>
    <w:p w:rsidR="00305815" w:rsidRDefault="00305815" w:rsidP="005247FE">
      <w:pPr>
        <w:pStyle w:val="ListParagraph"/>
        <w:numPr>
          <w:ilvl w:val="0"/>
          <w:numId w:val="2"/>
        </w:numPr>
        <w:ind w:left="450"/>
        <w:jc w:val="both"/>
      </w:pPr>
      <w:r>
        <w:t>Direktur Utama PT. Antam Tbk</w:t>
      </w:r>
    </w:p>
    <w:p w:rsidR="00305815" w:rsidRDefault="00305815" w:rsidP="005247FE">
      <w:pPr>
        <w:pStyle w:val="ListParagraph"/>
        <w:numPr>
          <w:ilvl w:val="0"/>
          <w:numId w:val="2"/>
        </w:numPr>
        <w:ind w:left="450"/>
        <w:jc w:val="both"/>
      </w:pPr>
      <w:r>
        <w:t>Direktur Utama PT. Timah Tbk</w:t>
      </w:r>
    </w:p>
    <w:p w:rsidR="00A248EB" w:rsidRDefault="00A248EB" w:rsidP="005247FE">
      <w:pPr>
        <w:jc w:val="both"/>
      </w:pPr>
      <w:bookmarkStart w:id="0" w:name="_GoBack"/>
      <w:bookmarkEnd w:id="0"/>
    </w:p>
    <w:p w:rsidR="00A248EB" w:rsidRDefault="00A248EB" w:rsidP="005247FE">
      <w:pPr>
        <w:jc w:val="both"/>
      </w:pPr>
    </w:p>
    <w:p w:rsidR="00A47E0F" w:rsidRDefault="00A47E0F" w:rsidP="005247FE">
      <w:pPr>
        <w:jc w:val="both"/>
      </w:pPr>
    </w:p>
    <w:p w:rsidR="003770A6" w:rsidRDefault="003770A6" w:rsidP="006C5B1B">
      <w:pPr>
        <w:rPr>
          <w:b/>
        </w:rPr>
      </w:pPr>
    </w:p>
    <w:p w:rsidR="003770A6" w:rsidRPr="003770A6" w:rsidRDefault="003770A6" w:rsidP="003770A6">
      <w:pPr>
        <w:jc w:val="center"/>
        <w:rPr>
          <w:b/>
        </w:rPr>
      </w:pPr>
    </w:p>
    <w:sectPr w:rsidR="003770A6" w:rsidRPr="003770A6" w:rsidSect="004F7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087B"/>
    <w:multiLevelType w:val="hybridMultilevel"/>
    <w:tmpl w:val="57B422CA"/>
    <w:lvl w:ilvl="0" w:tplc="06320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C5903"/>
    <w:multiLevelType w:val="hybridMultilevel"/>
    <w:tmpl w:val="2A7C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57E4F"/>
    <w:multiLevelType w:val="hybridMultilevel"/>
    <w:tmpl w:val="4650EF78"/>
    <w:lvl w:ilvl="0" w:tplc="5EC060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03E7C"/>
    <w:multiLevelType w:val="hybridMultilevel"/>
    <w:tmpl w:val="94F0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F1D1B"/>
    <w:multiLevelType w:val="hybridMultilevel"/>
    <w:tmpl w:val="24C8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E4074"/>
    <w:rsid w:val="00100B64"/>
    <w:rsid w:val="001523F5"/>
    <w:rsid w:val="00160860"/>
    <w:rsid w:val="00270B98"/>
    <w:rsid w:val="002C0EA5"/>
    <w:rsid w:val="00305815"/>
    <w:rsid w:val="003770A6"/>
    <w:rsid w:val="004D53F2"/>
    <w:rsid w:val="004F70F4"/>
    <w:rsid w:val="005247FE"/>
    <w:rsid w:val="0059681B"/>
    <w:rsid w:val="006C5B1B"/>
    <w:rsid w:val="00710B44"/>
    <w:rsid w:val="00732BB2"/>
    <w:rsid w:val="00825F4A"/>
    <w:rsid w:val="008E4074"/>
    <w:rsid w:val="0096265C"/>
    <w:rsid w:val="00973B0A"/>
    <w:rsid w:val="009C0FAC"/>
    <w:rsid w:val="00A248EB"/>
    <w:rsid w:val="00A47E0F"/>
    <w:rsid w:val="00B12DD2"/>
    <w:rsid w:val="00F15DD8"/>
    <w:rsid w:val="00F33074"/>
    <w:rsid w:val="00F76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74"/>
    <w:pPr>
      <w:ind w:left="720"/>
      <w:contextualSpacing/>
    </w:pPr>
  </w:style>
  <w:style w:type="paragraph" w:styleId="BalloonText">
    <w:name w:val="Balloon Text"/>
    <w:basedOn w:val="Normal"/>
    <w:link w:val="BalloonTextChar"/>
    <w:uiPriority w:val="99"/>
    <w:semiHidden/>
    <w:unhideWhenUsed/>
    <w:rsid w:val="00A2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EB"/>
    <w:rPr>
      <w:rFonts w:ascii="Tahoma" w:hAnsi="Tahoma" w:cs="Tahoma"/>
      <w:sz w:val="16"/>
      <w:szCs w:val="16"/>
    </w:rPr>
  </w:style>
  <w:style w:type="table" w:styleId="TableGrid">
    <w:name w:val="Table Grid"/>
    <w:basedOn w:val="TableNormal"/>
    <w:uiPriority w:val="39"/>
    <w:rsid w:val="00A2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dewi</cp:lastModifiedBy>
  <cp:revision>2</cp:revision>
  <cp:lastPrinted>2016-04-19T04:24:00Z</cp:lastPrinted>
  <dcterms:created xsi:type="dcterms:W3CDTF">2016-05-10T02:48:00Z</dcterms:created>
  <dcterms:modified xsi:type="dcterms:W3CDTF">2016-05-10T02:48:00Z</dcterms:modified>
</cp:coreProperties>
</file>