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B9" w:rsidRPr="00FD3F27" w:rsidRDefault="00FD3F27" w:rsidP="00FD3F27">
      <w:pPr>
        <w:jc w:val="center"/>
        <w:rPr>
          <w:b/>
          <w:u w:val="single"/>
        </w:rPr>
      </w:pPr>
      <w:r w:rsidRPr="00FD3F27">
        <w:rPr>
          <w:b/>
          <w:u w:val="single"/>
        </w:rPr>
        <w:t xml:space="preserve">FAQs </w:t>
      </w:r>
      <w:r w:rsidR="00CA4D4E">
        <w:rPr>
          <w:b/>
          <w:u w:val="single"/>
        </w:rPr>
        <w:t>on</w:t>
      </w:r>
      <w:r w:rsidRPr="00FD3F27">
        <w:rPr>
          <w:b/>
          <w:u w:val="single"/>
        </w:rPr>
        <w:t xml:space="preserve"> Multi-Unit/Multi Source Dose Assessment</w:t>
      </w:r>
    </w:p>
    <w:p w:rsidR="005849F5" w:rsidRDefault="005849F5" w:rsidP="005849F5">
      <w:pPr>
        <w:tabs>
          <w:tab w:val="left" w:pos="540"/>
        </w:tabs>
      </w:pPr>
    </w:p>
    <w:p w:rsidR="005F2508" w:rsidRDefault="005F2508" w:rsidP="005849F5">
      <w:pPr>
        <w:tabs>
          <w:tab w:val="left" w:pos="540"/>
        </w:tabs>
        <w:rPr>
          <w:u w:val="single"/>
        </w:rPr>
      </w:pPr>
      <w:r w:rsidRPr="00E71B45">
        <w:rPr>
          <w:u w:val="single"/>
        </w:rPr>
        <w:t>Assumptions</w:t>
      </w:r>
    </w:p>
    <w:p w:rsidR="00DA68A9" w:rsidRDefault="00DA68A9" w:rsidP="005849F5">
      <w:pPr>
        <w:tabs>
          <w:tab w:val="left" w:pos="540"/>
        </w:tabs>
      </w:pPr>
    </w:p>
    <w:p w:rsidR="00E71B45" w:rsidRDefault="008A3126" w:rsidP="005849F5">
      <w:pPr>
        <w:tabs>
          <w:tab w:val="left" w:pos="540"/>
        </w:tabs>
      </w:pPr>
      <w:r>
        <w:t>The assumptions are based on the guidance provided in NEI 12-01.</w:t>
      </w:r>
    </w:p>
    <w:p w:rsidR="008A3126" w:rsidRPr="008A3126" w:rsidRDefault="008A3126" w:rsidP="008A3126">
      <w:pPr>
        <w:pStyle w:val="ListParagraph"/>
        <w:numPr>
          <w:ilvl w:val="0"/>
          <w:numId w:val="4"/>
        </w:numPr>
        <w:overflowPunct/>
        <w:autoSpaceDE/>
        <w:autoSpaceDN/>
        <w:adjustRightInd/>
        <w:spacing w:before="240"/>
        <w:ind w:left="360"/>
        <w:textAlignment w:val="auto"/>
        <w:rPr>
          <w:szCs w:val="22"/>
        </w:rPr>
      </w:pPr>
      <w:r w:rsidRPr="008A3126">
        <w:rPr>
          <w:szCs w:val="22"/>
        </w:rPr>
        <w:t>A large-scale external event occurs that results in:</w:t>
      </w:r>
    </w:p>
    <w:p w:rsidR="008A3126" w:rsidRPr="008A3126" w:rsidRDefault="008A3126" w:rsidP="008A3126">
      <w:pPr>
        <w:pStyle w:val="ListParagraph"/>
        <w:ind w:left="360" w:hanging="362"/>
        <w:rPr>
          <w:szCs w:val="22"/>
        </w:rPr>
      </w:pPr>
    </w:p>
    <w:p w:rsidR="008A3126" w:rsidRPr="008A3126" w:rsidRDefault="008A3126" w:rsidP="008A3126">
      <w:pPr>
        <w:pStyle w:val="ListParagraph"/>
        <w:numPr>
          <w:ilvl w:val="1"/>
          <w:numId w:val="5"/>
        </w:numPr>
        <w:overflowPunct/>
        <w:autoSpaceDE/>
        <w:autoSpaceDN/>
        <w:adjustRightInd/>
        <w:ind w:left="1260" w:hanging="540"/>
        <w:textAlignment w:val="auto"/>
        <w:rPr>
          <w:szCs w:val="22"/>
        </w:rPr>
      </w:pPr>
      <w:r w:rsidRPr="008A3126">
        <w:rPr>
          <w:szCs w:val="22"/>
        </w:rPr>
        <w:t>all onsite units affected</w:t>
      </w:r>
    </w:p>
    <w:p w:rsidR="008A3126" w:rsidRPr="008A3126" w:rsidRDefault="008A3126" w:rsidP="008A3126">
      <w:pPr>
        <w:pStyle w:val="ListParagraph"/>
        <w:overflowPunct/>
        <w:autoSpaceDE/>
        <w:autoSpaceDN/>
        <w:adjustRightInd/>
        <w:ind w:left="1260" w:hanging="540"/>
        <w:textAlignment w:val="auto"/>
        <w:rPr>
          <w:szCs w:val="22"/>
        </w:rPr>
      </w:pPr>
    </w:p>
    <w:p w:rsidR="008A3126" w:rsidRPr="008A3126" w:rsidRDefault="008A3126" w:rsidP="008A3126">
      <w:pPr>
        <w:pStyle w:val="ListParagraph"/>
        <w:numPr>
          <w:ilvl w:val="1"/>
          <w:numId w:val="5"/>
        </w:numPr>
        <w:overflowPunct/>
        <w:autoSpaceDE/>
        <w:autoSpaceDN/>
        <w:adjustRightInd/>
        <w:ind w:left="1260" w:hanging="540"/>
        <w:textAlignment w:val="auto"/>
        <w:rPr>
          <w:szCs w:val="22"/>
        </w:rPr>
      </w:pPr>
      <w:r w:rsidRPr="008A3126">
        <w:rPr>
          <w:szCs w:val="22"/>
        </w:rPr>
        <w:t>extended loss of ac power</w:t>
      </w:r>
    </w:p>
    <w:p w:rsidR="008A3126" w:rsidRPr="008A3126" w:rsidRDefault="008A3126" w:rsidP="008A3126">
      <w:pPr>
        <w:pStyle w:val="ListParagraph"/>
        <w:overflowPunct/>
        <w:autoSpaceDE/>
        <w:autoSpaceDN/>
        <w:adjustRightInd/>
        <w:ind w:left="1260" w:hanging="540"/>
        <w:textAlignment w:val="auto"/>
        <w:rPr>
          <w:szCs w:val="22"/>
        </w:rPr>
      </w:pPr>
    </w:p>
    <w:p w:rsidR="008A3126" w:rsidRPr="008A3126" w:rsidRDefault="008A3126" w:rsidP="008A3126">
      <w:pPr>
        <w:pStyle w:val="ListParagraph"/>
        <w:numPr>
          <w:ilvl w:val="1"/>
          <w:numId w:val="5"/>
        </w:numPr>
        <w:overflowPunct/>
        <w:autoSpaceDE/>
        <w:autoSpaceDN/>
        <w:adjustRightInd/>
        <w:ind w:left="1260" w:hanging="540"/>
        <w:textAlignment w:val="auto"/>
        <w:rPr>
          <w:szCs w:val="22"/>
        </w:rPr>
      </w:pPr>
      <w:r w:rsidRPr="008A3126">
        <w:rPr>
          <w:szCs w:val="22"/>
        </w:rPr>
        <w:t>impeded access to the units</w:t>
      </w:r>
    </w:p>
    <w:p w:rsidR="008A3126" w:rsidRPr="008A3126" w:rsidRDefault="008A3126" w:rsidP="008A3126">
      <w:pPr>
        <w:pStyle w:val="ListParagraph"/>
        <w:overflowPunct/>
        <w:autoSpaceDE/>
        <w:autoSpaceDN/>
        <w:adjustRightInd/>
        <w:ind w:left="360" w:hanging="362"/>
        <w:textAlignment w:val="auto"/>
        <w:rPr>
          <w:szCs w:val="22"/>
        </w:rPr>
      </w:pPr>
    </w:p>
    <w:p w:rsidR="008A3126" w:rsidRPr="008A3126" w:rsidRDefault="008A3126" w:rsidP="008A3126">
      <w:pPr>
        <w:pStyle w:val="ListParagraph"/>
        <w:numPr>
          <w:ilvl w:val="0"/>
          <w:numId w:val="4"/>
        </w:numPr>
        <w:overflowPunct/>
        <w:autoSpaceDE/>
        <w:autoSpaceDN/>
        <w:adjustRightInd/>
        <w:spacing w:before="240"/>
        <w:ind w:left="360" w:hanging="362"/>
        <w:textAlignment w:val="auto"/>
        <w:rPr>
          <w:szCs w:val="22"/>
        </w:rPr>
      </w:pPr>
      <w:r w:rsidRPr="008A3126">
        <w:rPr>
          <w:szCs w:val="22"/>
        </w:rPr>
        <w:t>Initially, all onsite reactors are operating at full power and are successfully shut down.</w:t>
      </w:r>
    </w:p>
    <w:p w:rsidR="008A3126" w:rsidRPr="008A3126" w:rsidRDefault="008A3126" w:rsidP="008A3126">
      <w:pPr>
        <w:pStyle w:val="ListParagraph"/>
        <w:ind w:left="360" w:hanging="362"/>
        <w:rPr>
          <w:szCs w:val="22"/>
        </w:rPr>
      </w:pPr>
    </w:p>
    <w:p w:rsidR="008A3126" w:rsidRPr="008A3126" w:rsidRDefault="008A3126" w:rsidP="008A3126">
      <w:pPr>
        <w:pStyle w:val="ListParagraph"/>
        <w:numPr>
          <w:ilvl w:val="0"/>
          <w:numId w:val="4"/>
        </w:numPr>
        <w:overflowPunct/>
        <w:autoSpaceDE/>
        <w:autoSpaceDN/>
        <w:adjustRightInd/>
        <w:spacing w:before="240"/>
        <w:ind w:left="360" w:hanging="362"/>
        <w:textAlignment w:val="auto"/>
        <w:rPr>
          <w:szCs w:val="22"/>
        </w:rPr>
      </w:pPr>
      <w:r w:rsidRPr="008A3126">
        <w:rPr>
          <w:szCs w:val="22"/>
        </w:rPr>
        <w:t>A hostile action directed at the affected site does not occur during the period that the site is responding to the event.</w:t>
      </w:r>
    </w:p>
    <w:p w:rsidR="008A3126" w:rsidRPr="008A3126" w:rsidRDefault="008A3126" w:rsidP="008A3126">
      <w:pPr>
        <w:pStyle w:val="ListParagraph"/>
        <w:ind w:left="360" w:hanging="362"/>
        <w:rPr>
          <w:szCs w:val="22"/>
        </w:rPr>
      </w:pPr>
    </w:p>
    <w:p w:rsidR="008A3126" w:rsidRPr="008A3126" w:rsidRDefault="008A3126" w:rsidP="008A3126">
      <w:pPr>
        <w:pStyle w:val="ListParagraph"/>
        <w:numPr>
          <w:ilvl w:val="0"/>
          <w:numId w:val="4"/>
        </w:numPr>
        <w:overflowPunct/>
        <w:autoSpaceDE/>
        <w:autoSpaceDN/>
        <w:adjustRightInd/>
        <w:spacing w:before="240"/>
        <w:ind w:left="360" w:hanging="362"/>
        <w:textAlignment w:val="auto"/>
        <w:rPr>
          <w:szCs w:val="22"/>
        </w:rPr>
      </w:pPr>
      <w:r w:rsidRPr="008A3126">
        <w:rPr>
          <w:szCs w:val="22"/>
        </w:rPr>
        <w:t>The event impedes site access as follows:</w:t>
      </w:r>
    </w:p>
    <w:p w:rsidR="008A3126" w:rsidRPr="008A3126" w:rsidRDefault="008A3126" w:rsidP="008A3126">
      <w:pPr>
        <w:pStyle w:val="ListParagraph"/>
        <w:ind w:left="360" w:hanging="362"/>
        <w:rPr>
          <w:szCs w:val="22"/>
        </w:rPr>
      </w:pPr>
    </w:p>
    <w:p w:rsidR="008A3126" w:rsidRPr="008A3126" w:rsidRDefault="008A3126" w:rsidP="008A3126">
      <w:pPr>
        <w:pStyle w:val="ListParagraph"/>
        <w:numPr>
          <w:ilvl w:val="1"/>
          <w:numId w:val="4"/>
        </w:numPr>
        <w:tabs>
          <w:tab w:val="left" w:pos="1260"/>
        </w:tabs>
        <w:overflowPunct/>
        <w:autoSpaceDE/>
        <w:autoSpaceDN/>
        <w:adjustRightInd/>
        <w:spacing w:before="240"/>
        <w:ind w:left="1260" w:hanging="540"/>
        <w:textAlignment w:val="auto"/>
        <w:rPr>
          <w:szCs w:val="22"/>
        </w:rPr>
      </w:pPr>
      <w:r w:rsidRPr="008A3126">
        <w:rPr>
          <w:szCs w:val="22"/>
        </w:rPr>
        <w:t xml:space="preserve">Post event time:  6 hours – No site access.  This duration reflects the time necessary to clear roadway obstructions, use different travel routes, </w:t>
      </w:r>
      <w:proofErr w:type="gramStart"/>
      <w:r w:rsidRPr="008A3126">
        <w:rPr>
          <w:szCs w:val="22"/>
        </w:rPr>
        <w:t>mobilize</w:t>
      </w:r>
      <w:proofErr w:type="gramEnd"/>
      <w:r w:rsidRPr="008A3126">
        <w:rPr>
          <w:szCs w:val="22"/>
        </w:rPr>
        <w:t xml:space="preserve"> alternate transportation capabilities (e.g., private resource providers).</w:t>
      </w:r>
    </w:p>
    <w:p w:rsidR="008A3126" w:rsidRPr="008A3126" w:rsidRDefault="008A3126" w:rsidP="008A3126">
      <w:pPr>
        <w:pStyle w:val="ListParagraph"/>
        <w:tabs>
          <w:tab w:val="left" w:pos="1260"/>
        </w:tabs>
        <w:overflowPunct/>
        <w:autoSpaceDE/>
        <w:autoSpaceDN/>
        <w:adjustRightInd/>
        <w:spacing w:before="240"/>
        <w:ind w:left="360" w:hanging="540"/>
        <w:textAlignment w:val="auto"/>
        <w:rPr>
          <w:szCs w:val="22"/>
        </w:rPr>
      </w:pPr>
    </w:p>
    <w:p w:rsidR="008A3126" w:rsidRPr="008A3126" w:rsidRDefault="008A3126" w:rsidP="008A3126">
      <w:pPr>
        <w:pStyle w:val="ListParagraph"/>
        <w:numPr>
          <w:ilvl w:val="1"/>
          <w:numId w:val="4"/>
        </w:numPr>
        <w:tabs>
          <w:tab w:val="left" w:pos="1260"/>
        </w:tabs>
        <w:overflowPunct/>
        <w:autoSpaceDE/>
        <w:autoSpaceDN/>
        <w:adjustRightInd/>
        <w:spacing w:before="240"/>
        <w:ind w:left="1260" w:hanging="540"/>
        <w:textAlignment w:val="auto"/>
        <w:rPr>
          <w:szCs w:val="22"/>
        </w:rPr>
      </w:pPr>
      <w:r w:rsidRPr="008A3126">
        <w:rPr>
          <w:szCs w:val="22"/>
        </w:rPr>
        <w:t>Post event time:  6 to 24 hours – Limited site access.  Individuals may access the site by walking, personal vehicle or via alternate transportation resources that are available to deliver equipment, supplies and large numbers of personnel.</w:t>
      </w:r>
    </w:p>
    <w:p w:rsidR="008A3126" w:rsidRPr="008A3126" w:rsidRDefault="008A3126" w:rsidP="008A3126">
      <w:pPr>
        <w:pStyle w:val="ListParagraph"/>
        <w:tabs>
          <w:tab w:val="left" w:pos="1260"/>
        </w:tabs>
        <w:ind w:left="1260" w:hanging="540"/>
        <w:rPr>
          <w:szCs w:val="22"/>
        </w:rPr>
      </w:pPr>
    </w:p>
    <w:p w:rsidR="008A3126" w:rsidRPr="008A3126" w:rsidRDefault="008A3126" w:rsidP="008A3126">
      <w:pPr>
        <w:pStyle w:val="ListParagraph"/>
        <w:numPr>
          <w:ilvl w:val="1"/>
          <w:numId w:val="4"/>
        </w:numPr>
        <w:tabs>
          <w:tab w:val="left" w:pos="1260"/>
        </w:tabs>
        <w:overflowPunct/>
        <w:autoSpaceDE/>
        <w:autoSpaceDN/>
        <w:adjustRightInd/>
        <w:spacing w:before="240"/>
        <w:ind w:left="1260" w:hanging="540"/>
        <w:textAlignment w:val="auto"/>
        <w:rPr>
          <w:szCs w:val="22"/>
        </w:rPr>
      </w:pPr>
      <w:r w:rsidRPr="008A3126">
        <w:rPr>
          <w:szCs w:val="22"/>
        </w:rPr>
        <w:t xml:space="preserve">Post event time:  24+ hours – Improved site access.  Site access is restored to a near-normal status and/or augmented transportation resources are available to deliver equipment, supplies and large numbers of personnel. </w:t>
      </w:r>
    </w:p>
    <w:p w:rsidR="008A3126" w:rsidRDefault="008A3126" w:rsidP="005849F5">
      <w:pPr>
        <w:tabs>
          <w:tab w:val="left" w:pos="540"/>
        </w:tabs>
      </w:pPr>
    </w:p>
    <w:p w:rsidR="00DA68A9" w:rsidRPr="00DA68A9" w:rsidRDefault="00DA68A9" w:rsidP="00DA68A9">
      <w:pPr>
        <w:pStyle w:val="ListParagraph"/>
        <w:numPr>
          <w:ilvl w:val="0"/>
          <w:numId w:val="4"/>
        </w:numPr>
        <w:tabs>
          <w:tab w:val="left" w:pos="450"/>
        </w:tabs>
        <w:ind w:left="450" w:hanging="450"/>
        <w:contextualSpacing w:val="0"/>
        <w:rPr>
          <w:rFonts w:cs="Arial"/>
          <w:szCs w:val="22"/>
        </w:rPr>
      </w:pPr>
      <w:r w:rsidRPr="00DA68A9">
        <w:rPr>
          <w:rFonts w:cs="Arial"/>
          <w:szCs w:val="22"/>
        </w:rPr>
        <w:t>Installed sources of AC power, including alternate AC power sources, are not available. These power sources are typically classified as safety-related or governed by augmented quality requirements.</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Pr="00DA68A9" w:rsidRDefault="00DA68A9" w:rsidP="00DA68A9">
      <w:pPr>
        <w:pStyle w:val="ListParagraph"/>
        <w:numPr>
          <w:ilvl w:val="0"/>
          <w:numId w:val="4"/>
        </w:numPr>
        <w:tabs>
          <w:tab w:val="left" w:pos="450"/>
          <w:tab w:val="left" w:pos="2160"/>
        </w:tabs>
        <w:ind w:left="450" w:hanging="450"/>
        <w:contextualSpacing w:val="0"/>
        <w:rPr>
          <w:rFonts w:cs="Arial"/>
          <w:szCs w:val="22"/>
        </w:rPr>
      </w:pPr>
      <w:r w:rsidRPr="00DA68A9">
        <w:rPr>
          <w:rFonts w:cs="Arial"/>
          <w:szCs w:val="22"/>
        </w:rPr>
        <w:t>Nonessential loads from DC battery buses are stripped in accordance with plant emergency or abnormal operating procedures, or other response guidelines to extend battery life.</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Pr="00DA68A9" w:rsidRDefault="00DA68A9" w:rsidP="00DA68A9">
      <w:pPr>
        <w:pStyle w:val="ListParagraph"/>
        <w:numPr>
          <w:ilvl w:val="0"/>
          <w:numId w:val="4"/>
        </w:numPr>
        <w:tabs>
          <w:tab w:val="left" w:pos="450"/>
          <w:tab w:val="left" w:pos="2160"/>
        </w:tabs>
        <w:ind w:left="450" w:hanging="450"/>
        <w:contextualSpacing w:val="0"/>
        <w:rPr>
          <w:rFonts w:cs="Arial"/>
          <w:szCs w:val="22"/>
        </w:rPr>
      </w:pPr>
      <w:r w:rsidRPr="00DA68A9">
        <w:rPr>
          <w:rFonts w:cs="Arial"/>
          <w:szCs w:val="22"/>
        </w:rPr>
        <w:t>Installed inverters and battery chargers remain available provided they are protected from internal and external flooding events consistent with the current station design.</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Pr="00DA68A9" w:rsidRDefault="00DA68A9" w:rsidP="00DA68A9">
      <w:pPr>
        <w:pStyle w:val="ListParagraph"/>
        <w:numPr>
          <w:ilvl w:val="0"/>
          <w:numId w:val="4"/>
        </w:numPr>
        <w:tabs>
          <w:tab w:val="left" w:pos="450"/>
          <w:tab w:val="left" w:pos="2160"/>
        </w:tabs>
        <w:ind w:left="450" w:hanging="450"/>
        <w:contextualSpacing w:val="0"/>
        <w:rPr>
          <w:rFonts w:cs="Arial"/>
          <w:szCs w:val="22"/>
        </w:rPr>
      </w:pPr>
      <w:r w:rsidRPr="00DA68A9">
        <w:rPr>
          <w:rFonts w:cs="Arial"/>
          <w:szCs w:val="22"/>
        </w:rPr>
        <w:t>Diesel fuel oil stored in seismic structures and protected from flooding and wind remains available.</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Pr="00DA68A9" w:rsidRDefault="00DA68A9" w:rsidP="00DA68A9">
      <w:pPr>
        <w:pStyle w:val="ListParagraph"/>
        <w:numPr>
          <w:ilvl w:val="0"/>
          <w:numId w:val="4"/>
        </w:numPr>
        <w:tabs>
          <w:tab w:val="left" w:pos="450"/>
          <w:tab w:val="left" w:pos="2160"/>
        </w:tabs>
        <w:ind w:left="450" w:hanging="450"/>
        <w:contextualSpacing w:val="0"/>
        <w:rPr>
          <w:rFonts w:cs="Arial"/>
          <w:szCs w:val="22"/>
        </w:rPr>
      </w:pPr>
      <w:r w:rsidRPr="00DA68A9">
        <w:rPr>
          <w:rFonts w:cs="Arial"/>
          <w:szCs w:val="22"/>
        </w:rPr>
        <w:t xml:space="preserve">Portable equipment staged for implementation of accident management strategies (e.g., SAMG and EDMG) may be used provided it is stored onsite; is reasonably protected from </w:t>
      </w:r>
      <w:r w:rsidRPr="00DA68A9">
        <w:rPr>
          <w:rFonts w:cs="Arial"/>
          <w:szCs w:val="22"/>
        </w:rPr>
        <w:lastRenderedPageBreak/>
        <w:t>seismic, wind, and flooding events</w:t>
      </w:r>
      <w:r w:rsidRPr="00DA68A9">
        <w:rPr>
          <w:rStyle w:val="FootnoteReference"/>
          <w:rFonts w:cs="Arial"/>
          <w:szCs w:val="22"/>
        </w:rPr>
        <w:footnoteReference w:id="1"/>
      </w:r>
      <w:r w:rsidRPr="00DA68A9">
        <w:rPr>
          <w:rFonts w:cs="Arial"/>
          <w:szCs w:val="22"/>
        </w:rPr>
        <w:t>; is maintained through programmatic controls; and has implementing actions specified in existing procedures or guidelines.  This includes use of portable AC and DC power sources.</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Pr="00DA68A9" w:rsidRDefault="00DA68A9" w:rsidP="00DA68A9">
      <w:pPr>
        <w:pStyle w:val="ListParagraph"/>
        <w:numPr>
          <w:ilvl w:val="0"/>
          <w:numId w:val="4"/>
        </w:numPr>
        <w:tabs>
          <w:tab w:val="left" w:pos="450"/>
          <w:tab w:val="left" w:pos="2160"/>
        </w:tabs>
        <w:ind w:left="450" w:hanging="450"/>
        <w:contextualSpacing w:val="0"/>
        <w:rPr>
          <w:rFonts w:cs="Arial"/>
          <w:szCs w:val="22"/>
        </w:rPr>
      </w:pPr>
      <w:r w:rsidRPr="00DA68A9">
        <w:rPr>
          <w:rFonts w:cs="Arial"/>
          <w:szCs w:val="22"/>
        </w:rPr>
        <w:t>Offsite infrastructure supporting communications systems is inoperable, or operating with degraded capability, in the area surrounding the site (e.g., cellular telephone or microwave towers, telephone central office buildings, telephone lines, etc.).  A licensee has two options for determining the affected area.</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Default="00DA68A9" w:rsidP="00DA68A9">
      <w:pPr>
        <w:pStyle w:val="ListParagraph"/>
        <w:numPr>
          <w:ilvl w:val="2"/>
          <w:numId w:val="7"/>
        </w:numPr>
        <w:tabs>
          <w:tab w:val="left" w:pos="1170"/>
        </w:tabs>
        <w:overflowPunct/>
        <w:ind w:left="1170" w:hanging="450"/>
        <w:contextualSpacing w:val="0"/>
        <w:textAlignment w:val="auto"/>
        <w:rPr>
          <w:rFonts w:cs="Arial"/>
          <w:szCs w:val="22"/>
        </w:rPr>
      </w:pPr>
      <w:r w:rsidRPr="00DA68A9">
        <w:rPr>
          <w:rFonts w:cs="Arial"/>
          <w:szCs w:val="22"/>
        </w:rPr>
        <w:t>Apply a default distance value, in all directions, of approximately 25 miles from the plant site, or</w:t>
      </w:r>
    </w:p>
    <w:p w:rsidR="00DA68A9" w:rsidRPr="00DA68A9" w:rsidRDefault="00DA68A9" w:rsidP="00DA68A9">
      <w:pPr>
        <w:pStyle w:val="ListParagraph"/>
        <w:tabs>
          <w:tab w:val="left" w:pos="1170"/>
        </w:tabs>
        <w:overflowPunct/>
        <w:ind w:left="1170"/>
        <w:contextualSpacing w:val="0"/>
        <w:textAlignment w:val="auto"/>
        <w:rPr>
          <w:rFonts w:cs="Arial"/>
          <w:szCs w:val="22"/>
        </w:rPr>
      </w:pPr>
    </w:p>
    <w:p w:rsidR="00DA68A9" w:rsidRDefault="00DA68A9" w:rsidP="00DA68A9">
      <w:pPr>
        <w:pStyle w:val="ListParagraph"/>
        <w:numPr>
          <w:ilvl w:val="2"/>
          <w:numId w:val="7"/>
        </w:numPr>
        <w:tabs>
          <w:tab w:val="left" w:pos="1170"/>
        </w:tabs>
        <w:overflowPunct/>
        <w:ind w:left="1170" w:hanging="450"/>
        <w:contextualSpacing w:val="0"/>
        <w:textAlignment w:val="auto"/>
        <w:rPr>
          <w:rFonts w:cs="Arial"/>
          <w:szCs w:val="22"/>
        </w:rPr>
      </w:pPr>
      <w:r w:rsidRPr="00DA68A9">
        <w:rPr>
          <w:rFonts w:cs="Arial"/>
          <w:szCs w:val="22"/>
        </w:rPr>
        <w:t>Develop a site-specific distance assumption and document the basis.</w:t>
      </w:r>
    </w:p>
    <w:p w:rsidR="00DA68A9" w:rsidRPr="00DA68A9" w:rsidRDefault="00DA68A9" w:rsidP="00DA68A9">
      <w:pPr>
        <w:pStyle w:val="ListParagraph"/>
        <w:tabs>
          <w:tab w:val="left" w:pos="1170"/>
        </w:tabs>
        <w:overflowPunct/>
        <w:ind w:left="1170"/>
        <w:contextualSpacing w:val="0"/>
        <w:textAlignment w:val="auto"/>
        <w:rPr>
          <w:rFonts w:cs="Arial"/>
          <w:szCs w:val="22"/>
        </w:rPr>
      </w:pPr>
    </w:p>
    <w:p w:rsidR="00DA68A9" w:rsidRPr="00DA68A9" w:rsidRDefault="00DA68A9" w:rsidP="00DA68A9">
      <w:pPr>
        <w:pStyle w:val="ListParagraph"/>
        <w:numPr>
          <w:ilvl w:val="2"/>
          <w:numId w:val="7"/>
        </w:numPr>
        <w:tabs>
          <w:tab w:val="left" w:pos="1170"/>
        </w:tabs>
        <w:overflowPunct/>
        <w:ind w:left="1170" w:hanging="450"/>
        <w:contextualSpacing w:val="0"/>
        <w:textAlignment w:val="auto"/>
        <w:rPr>
          <w:rFonts w:cs="Arial"/>
          <w:szCs w:val="22"/>
        </w:rPr>
      </w:pPr>
      <w:r w:rsidRPr="00DA68A9">
        <w:rPr>
          <w:rFonts w:cs="Arial"/>
          <w:szCs w:val="22"/>
        </w:rPr>
        <w:t>Communications infrastructure in locations beyond the area defined above is not significantly impacted by the event.</w:t>
      </w:r>
    </w:p>
    <w:p w:rsidR="00DA68A9" w:rsidRPr="00DA68A9" w:rsidRDefault="00DA68A9" w:rsidP="00DA68A9">
      <w:pPr>
        <w:pStyle w:val="ListParagraph"/>
        <w:tabs>
          <w:tab w:val="left" w:pos="450"/>
          <w:tab w:val="left" w:pos="2160"/>
        </w:tabs>
        <w:ind w:left="450" w:hanging="450"/>
        <w:contextualSpacing w:val="0"/>
        <w:rPr>
          <w:rFonts w:cs="Arial"/>
          <w:szCs w:val="22"/>
        </w:rPr>
      </w:pPr>
    </w:p>
    <w:p w:rsidR="00DA68A9" w:rsidRPr="00DA68A9" w:rsidRDefault="00DA68A9" w:rsidP="00DA68A9">
      <w:pPr>
        <w:pStyle w:val="ListParagraph"/>
        <w:numPr>
          <w:ilvl w:val="0"/>
          <w:numId w:val="4"/>
        </w:numPr>
        <w:tabs>
          <w:tab w:val="left" w:pos="450"/>
          <w:tab w:val="left" w:pos="2160"/>
        </w:tabs>
        <w:ind w:left="450" w:hanging="450"/>
        <w:contextualSpacing w:val="0"/>
        <w:rPr>
          <w:rFonts w:cs="Arial"/>
          <w:szCs w:val="22"/>
        </w:rPr>
      </w:pPr>
      <w:r w:rsidRPr="00DA68A9">
        <w:rPr>
          <w:rFonts w:cs="Arial"/>
          <w:szCs w:val="22"/>
        </w:rPr>
        <w:t>Communications equipment located at an offsite response facility, and supplied from a backup power source, is assumed to be functional.  The availability of this equipment must be determined in conjunction with Assumption #7, above.  For example, a diesel generator-powered satellite telephone system at an Emergency Operations Center (EOC) located 4 miles from the plant would be available since the system does not rely upon ground-based communications infrastructure within the affected area.  A land-line telephone in the same EOC would not be available due to local infrastructure impacts consistent with Assumption #7.</w:t>
      </w:r>
    </w:p>
    <w:p w:rsidR="00DA68A9" w:rsidRPr="00DA68A9" w:rsidRDefault="00DA68A9" w:rsidP="00DA68A9">
      <w:pPr>
        <w:widowControl w:val="0"/>
        <w:tabs>
          <w:tab w:val="left" w:pos="450"/>
        </w:tabs>
        <w:ind w:left="450" w:hanging="450"/>
        <w:rPr>
          <w:rFonts w:cs="Arial"/>
          <w:szCs w:val="22"/>
        </w:rPr>
      </w:pPr>
    </w:p>
    <w:p w:rsidR="00DA68A9" w:rsidRPr="00DA68A9" w:rsidRDefault="00DA68A9" w:rsidP="00DA68A9">
      <w:pPr>
        <w:widowControl w:val="0"/>
        <w:numPr>
          <w:ilvl w:val="0"/>
          <w:numId w:val="4"/>
        </w:numPr>
        <w:tabs>
          <w:tab w:val="left" w:pos="450"/>
        </w:tabs>
        <w:ind w:left="450" w:hanging="450"/>
        <w:rPr>
          <w:rFonts w:cs="Arial"/>
          <w:szCs w:val="22"/>
        </w:rPr>
      </w:pPr>
      <w:r w:rsidRPr="00DA68A9">
        <w:rPr>
          <w:rFonts w:cs="Arial"/>
          <w:szCs w:val="22"/>
        </w:rPr>
        <w:t>To be assumed operable, a piece of onsite communications equipment should be in a location, and maintained in a manner, that maximizes survivability following a beyond design basis external event.  In particular, the location or manner should reasonably preclude wetting from flooding or impact damage from a seismic event.  The equipment itself does not need to be seismically qualified.  Equipment should be stored, or otherwise available, in locations that can be readily accessed when needed.  To the degree practical, consider potential constraints to equipment access or movement when selecting a storage location.  When selecting storage locations, consider criteria presented in regulatory and industry guidance applicable to equipment associated with NRC Order Modifying Licenses with Regard to Requirements for Mitigation Strategies for Beyond-Design-Basis External Events (e.g., FLEX equipment).  The above guidance applies to equipment at the point of use (e.g., a radio) as well as any supporting infrastructure components.  Such components may include portable power sources, and radio system repeaters and antennas.</w:t>
      </w:r>
    </w:p>
    <w:p w:rsidR="00DA68A9" w:rsidRPr="00DA68A9" w:rsidRDefault="00DA68A9" w:rsidP="00DA68A9">
      <w:pPr>
        <w:widowControl w:val="0"/>
        <w:tabs>
          <w:tab w:val="left" w:pos="450"/>
        </w:tabs>
        <w:ind w:left="450" w:hanging="450"/>
        <w:rPr>
          <w:rFonts w:cs="Arial"/>
          <w:szCs w:val="22"/>
        </w:rPr>
      </w:pPr>
    </w:p>
    <w:p w:rsidR="00DA68A9" w:rsidRDefault="00DA68A9" w:rsidP="00DA68A9">
      <w:pPr>
        <w:widowControl w:val="0"/>
        <w:numPr>
          <w:ilvl w:val="0"/>
          <w:numId w:val="4"/>
        </w:numPr>
        <w:tabs>
          <w:tab w:val="left" w:pos="450"/>
        </w:tabs>
        <w:ind w:left="450" w:hanging="450"/>
        <w:rPr>
          <w:rFonts w:cs="Arial"/>
          <w:szCs w:val="22"/>
        </w:rPr>
      </w:pPr>
      <w:r w:rsidRPr="00DA68A9">
        <w:rPr>
          <w:rFonts w:cs="Arial"/>
          <w:szCs w:val="22"/>
        </w:rPr>
        <w:t xml:space="preserve">End-point equipment identified for a communications link listed below should be used solely for the designated purpose.  For example, a satellite telephone assigned to the Control Room should not be credited for performing both Offsite Response Organization (ORO) and NRC notifications. </w:t>
      </w:r>
    </w:p>
    <w:p w:rsidR="00DA68A9" w:rsidRPr="00DA68A9" w:rsidRDefault="00DA68A9" w:rsidP="00DA68A9">
      <w:pPr>
        <w:widowControl w:val="0"/>
        <w:tabs>
          <w:tab w:val="left" w:pos="450"/>
        </w:tabs>
        <w:ind w:left="450"/>
        <w:rPr>
          <w:rFonts w:cs="Arial"/>
          <w:szCs w:val="22"/>
        </w:rPr>
      </w:pPr>
    </w:p>
    <w:p w:rsidR="00DA68A9" w:rsidRDefault="00DA68A9" w:rsidP="00DA68A9">
      <w:pPr>
        <w:rPr>
          <w:rFonts w:cs="Arial"/>
          <w:szCs w:val="22"/>
        </w:rPr>
      </w:pPr>
    </w:p>
    <w:p w:rsidR="00CA4D4E" w:rsidRDefault="00CA4D4E" w:rsidP="00DA68A9">
      <w:pPr>
        <w:rPr>
          <w:rFonts w:cs="Arial"/>
          <w:szCs w:val="22"/>
        </w:rPr>
        <w:sectPr w:rsidR="00CA4D4E" w:rsidSect="00EB3B85">
          <w:pgSz w:w="12240" w:h="15840"/>
          <w:pgMar w:top="1440" w:right="1440" w:bottom="1440" w:left="1440" w:header="720" w:footer="720" w:gutter="0"/>
          <w:cols w:space="720"/>
          <w:docGrid w:linePitch="299"/>
        </w:sectPr>
      </w:pPr>
    </w:p>
    <w:p w:rsidR="008A3126" w:rsidRPr="002D1A45" w:rsidRDefault="00C97C83" w:rsidP="00C97C83">
      <w:pPr>
        <w:tabs>
          <w:tab w:val="left" w:pos="540"/>
        </w:tabs>
        <w:jc w:val="center"/>
        <w:rPr>
          <w:u w:val="single"/>
        </w:rPr>
      </w:pPr>
      <w:r w:rsidRPr="002D1A45">
        <w:rPr>
          <w:u w:val="single"/>
        </w:rPr>
        <w:lastRenderedPageBreak/>
        <w:t>Frequent Asked Questions (FAQs)</w:t>
      </w:r>
    </w:p>
    <w:p w:rsidR="005F2508" w:rsidRDefault="005F2508" w:rsidP="005849F5">
      <w:pPr>
        <w:tabs>
          <w:tab w:val="left" w:pos="540"/>
        </w:tabs>
      </w:pPr>
    </w:p>
    <w:p w:rsidR="008535C5" w:rsidRDefault="008535C5" w:rsidP="005849F5">
      <w:pPr>
        <w:tabs>
          <w:tab w:val="left" w:pos="540"/>
        </w:tabs>
      </w:pPr>
      <w:r>
        <w:t>PG&amp;E response are provided to these FAQs in blue.</w:t>
      </w:r>
    </w:p>
    <w:p w:rsidR="008535C5" w:rsidRDefault="008535C5" w:rsidP="005849F5">
      <w:pPr>
        <w:tabs>
          <w:tab w:val="left" w:pos="540"/>
        </w:tabs>
      </w:pPr>
    </w:p>
    <w:p w:rsidR="00200B18" w:rsidRPr="00766267" w:rsidRDefault="00723C1E" w:rsidP="008535C5">
      <w:pPr>
        <w:pStyle w:val="ListParagraph"/>
        <w:numPr>
          <w:ilvl w:val="0"/>
          <w:numId w:val="11"/>
        </w:numPr>
        <w:tabs>
          <w:tab w:val="left" w:pos="360"/>
        </w:tabs>
        <w:ind w:left="360"/>
      </w:pPr>
      <w:r>
        <w:t>In addition to the primary dose assessment computer model, i</w:t>
      </w:r>
      <w:r w:rsidR="00200B18">
        <w:t xml:space="preserve">s </w:t>
      </w:r>
      <w:r>
        <w:t>a</w:t>
      </w:r>
      <w:r w:rsidR="00200B18">
        <w:t xml:space="preserve"> back-up </w:t>
      </w:r>
      <w:r>
        <w:t xml:space="preserve">dose assessment </w:t>
      </w:r>
      <w:r w:rsidR="00200B18">
        <w:t>method (e.g., procedure, calculation sheet</w:t>
      </w:r>
      <w:r w:rsidR="00766267">
        <w:t>, another</w:t>
      </w:r>
      <w:r w:rsidR="00200B18">
        <w:t xml:space="preserve"> dose assessment computer model</w:t>
      </w:r>
      <w:r w:rsidR="007D2BA1">
        <w:t xml:space="preserve">, or </w:t>
      </w:r>
      <w:r w:rsidR="007D2BA1" w:rsidRPr="00766267">
        <w:t xml:space="preserve">the primary dose assessment computer model on a laptop) </w:t>
      </w:r>
      <w:r w:rsidR="00200B18" w:rsidRPr="00766267">
        <w:t>required?</w:t>
      </w:r>
    </w:p>
    <w:p w:rsidR="008535C5" w:rsidRPr="008535C5" w:rsidRDefault="008535C5" w:rsidP="008535C5">
      <w:pPr>
        <w:tabs>
          <w:tab w:val="left" w:pos="360"/>
        </w:tabs>
        <w:ind w:left="360"/>
        <w:rPr>
          <w:color w:val="4F81BD" w:themeColor="accent1"/>
        </w:rPr>
      </w:pPr>
    </w:p>
    <w:p w:rsidR="00766267" w:rsidRPr="00766267" w:rsidRDefault="008535C5" w:rsidP="00766267">
      <w:pPr>
        <w:tabs>
          <w:tab w:val="left" w:pos="360"/>
        </w:tabs>
        <w:ind w:left="360"/>
        <w:rPr>
          <w:color w:val="548DD4" w:themeColor="text2" w:themeTint="99"/>
        </w:rPr>
      </w:pPr>
      <w:r w:rsidRPr="008535C5">
        <w:rPr>
          <w:color w:val="4F81BD" w:themeColor="accent1"/>
        </w:rPr>
        <w:t xml:space="preserve">As a back-up method to the primary dose assessment computer, DCPP will have procedural instructions, a calculation spreadsheet, and a laptop which has a complete version of the </w:t>
      </w:r>
      <w:r w:rsidR="007D2BA1">
        <w:rPr>
          <w:color w:val="4F81BD" w:themeColor="accent1"/>
        </w:rPr>
        <w:t xml:space="preserve">primary </w:t>
      </w:r>
      <w:r w:rsidRPr="008535C5">
        <w:rPr>
          <w:color w:val="4F81BD" w:themeColor="accent1"/>
        </w:rPr>
        <w:t>dose assessment computer mode</w:t>
      </w:r>
      <w:r w:rsidRPr="00766267">
        <w:rPr>
          <w:color w:val="548DD4" w:themeColor="text2" w:themeTint="99"/>
        </w:rPr>
        <w:t>l</w:t>
      </w:r>
      <w:r w:rsidR="00764AB5" w:rsidRPr="00766267">
        <w:rPr>
          <w:color w:val="548DD4" w:themeColor="text2" w:themeTint="99"/>
        </w:rPr>
        <w:t xml:space="preserve"> -</w:t>
      </w:r>
      <w:r w:rsidR="00766267" w:rsidRPr="00766267">
        <w:rPr>
          <w:color w:val="548DD4" w:themeColor="text2" w:themeTint="99"/>
        </w:rPr>
        <w:t xml:space="preserve"> </w:t>
      </w:r>
      <w:r w:rsidR="00764AB5" w:rsidRPr="00766267">
        <w:rPr>
          <w:color w:val="548DD4" w:themeColor="text2" w:themeTint="99"/>
        </w:rPr>
        <w:t xml:space="preserve">currently in the EOF and TSC </w:t>
      </w:r>
    </w:p>
    <w:p w:rsidR="00766267" w:rsidRDefault="00766267" w:rsidP="00766267">
      <w:pPr>
        <w:tabs>
          <w:tab w:val="left" w:pos="360"/>
        </w:tabs>
        <w:ind w:left="360"/>
        <w:rPr>
          <w:color w:val="FF0000"/>
        </w:rPr>
      </w:pPr>
    </w:p>
    <w:p w:rsidR="00200B18" w:rsidRDefault="00723C1E" w:rsidP="00766267">
      <w:pPr>
        <w:tabs>
          <w:tab w:val="left" w:pos="360"/>
        </w:tabs>
        <w:ind w:left="360"/>
      </w:pPr>
      <w:r>
        <w:t xml:space="preserve">Will </w:t>
      </w:r>
      <w:r w:rsidR="00DD1433">
        <w:t xml:space="preserve">drill </w:t>
      </w:r>
      <w:r>
        <w:t xml:space="preserve">demonstration of multi-unit, multi-source dose assessment </w:t>
      </w:r>
      <w:r w:rsidR="00DD1433">
        <w:t xml:space="preserve">calculations </w:t>
      </w:r>
      <w:r>
        <w:t>be required in 2014?</w:t>
      </w:r>
    </w:p>
    <w:p w:rsidR="008535C5" w:rsidRPr="008535C5" w:rsidRDefault="008535C5" w:rsidP="008535C5">
      <w:pPr>
        <w:pStyle w:val="ListParagraph"/>
        <w:tabs>
          <w:tab w:val="left" w:pos="360"/>
        </w:tabs>
        <w:ind w:left="360"/>
        <w:rPr>
          <w:color w:val="4F81BD" w:themeColor="accent1"/>
        </w:rPr>
      </w:pPr>
    </w:p>
    <w:p w:rsidR="008535C5" w:rsidRDefault="008535C5" w:rsidP="008535C5">
      <w:pPr>
        <w:pStyle w:val="ListParagraph"/>
        <w:tabs>
          <w:tab w:val="left" w:pos="360"/>
        </w:tabs>
        <w:ind w:left="360"/>
      </w:pPr>
      <w:r w:rsidRPr="008535C5">
        <w:rPr>
          <w:color w:val="4F81BD" w:themeColor="accent1"/>
        </w:rPr>
        <w:t>Yes, a demonstration of multi-unit, multi-source dose assessment will be incorporated in</w:t>
      </w:r>
      <w:r w:rsidR="00DD1433">
        <w:rPr>
          <w:color w:val="4F81BD" w:themeColor="accent1"/>
        </w:rPr>
        <w:t>to</w:t>
      </w:r>
      <w:r w:rsidRPr="008535C5">
        <w:rPr>
          <w:color w:val="4F81BD" w:themeColor="accent1"/>
        </w:rPr>
        <w:t xml:space="preserve"> the 2014 drill schedule.</w:t>
      </w:r>
    </w:p>
    <w:p w:rsidR="008535C5" w:rsidRDefault="008535C5" w:rsidP="008535C5">
      <w:pPr>
        <w:pStyle w:val="ListParagraph"/>
        <w:tabs>
          <w:tab w:val="left" w:pos="360"/>
        </w:tabs>
        <w:ind w:left="360"/>
      </w:pPr>
    </w:p>
    <w:p w:rsidR="00723C1E" w:rsidRDefault="00723C1E" w:rsidP="008535C5">
      <w:pPr>
        <w:pStyle w:val="ListParagraph"/>
        <w:numPr>
          <w:ilvl w:val="0"/>
          <w:numId w:val="11"/>
        </w:numPr>
        <w:tabs>
          <w:tab w:val="left" w:pos="360"/>
        </w:tabs>
        <w:ind w:left="360"/>
      </w:pPr>
      <w:r>
        <w:t xml:space="preserve">What is </w:t>
      </w:r>
      <w:r w:rsidR="003B26EE">
        <w:t>an acceptable timeframe</w:t>
      </w:r>
      <w:r>
        <w:t xml:space="preserve"> to implement interim actions to </w:t>
      </w:r>
      <w:r w:rsidR="003B26EE">
        <w:t>conduct</w:t>
      </w:r>
      <w:r>
        <w:t xml:space="preserve"> a multi-unit, multi-source dose assessment?</w:t>
      </w:r>
    </w:p>
    <w:p w:rsidR="008535C5" w:rsidRPr="008535C5" w:rsidRDefault="008535C5" w:rsidP="008535C5">
      <w:pPr>
        <w:pStyle w:val="ListParagraph"/>
        <w:tabs>
          <w:tab w:val="left" w:pos="360"/>
        </w:tabs>
        <w:ind w:left="360"/>
        <w:rPr>
          <w:color w:val="4F81BD" w:themeColor="accent1"/>
        </w:rPr>
      </w:pPr>
    </w:p>
    <w:p w:rsidR="008535C5" w:rsidRDefault="008535C5" w:rsidP="008535C5">
      <w:pPr>
        <w:pStyle w:val="ListParagraph"/>
        <w:tabs>
          <w:tab w:val="left" w:pos="360"/>
        </w:tabs>
        <w:ind w:left="360"/>
      </w:pPr>
      <w:r w:rsidRPr="008535C5">
        <w:rPr>
          <w:color w:val="4F81BD" w:themeColor="accent1"/>
        </w:rPr>
        <w:t>PG</w:t>
      </w:r>
      <w:r w:rsidRPr="00766267">
        <w:rPr>
          <w:color w:val="548DD4" w:themeColor="text2" w:themeTint="99"/>
        </w:rPr>
        <w:t xml:space="preserve">&amp;E </w:t>
      </w:r>
      <w:r w:rsidR="00764AB5" w:rsidRPr="00766267">
        <w:rPr>
          <w:color w:val="548DD4" w:themeColor="text2" w:themeTint="99"/>
        </w:rPr>
        <w:t>has a milestone to</w:t>
      </w:r>
      <w:r w:rsidRPr="00766267">
        <w:rPr>
          <w:color w:val="548DD4" w:themeColor="text2" w:themeTint="99"/>
        </w:rPr>
        <w:t xml:space="preserve"> complete interi</w:t>
      </w:r>
      <w:r w:rsidRPr="008535C5">
        <w:rPr>
          <w:color w:val="4F81BD" w:themeColor="accent1"/>
        </w:rPr>
        <w:t>m actions by December 31, 2013.</w:t>
      </w:r>
    </w:p>
    <w:p w:rsidR="008535C5" w:rsidRDefault="008535C5" w:rsidP="008535C5">
      <w:pPr>
        <w:pStyle w:val="ListParagraph"/>
        <w:tabs>
          <w:tab w:val="left" w:pos="360"/>
        </w:tabs>
        <w:ind w:left="360"/>
      </w:pPr>
    </w:p>
    <w:p w:rsidR="003B26EE" w:rsidRDefault="003B26EE" w:rsidP="008535C5">
      <w:pPr>
        <w:pStyle w:val="ListParagraph"/>
        <w:numPr>
          <w:ilvl w:val="0"/>
          <w:numId w:val="11"/>
        </w:numPr>
        <w:tabs>
          <w:tab w:val="left" w:pos="360"/>
        </w:tabs>
        <w:ind w:left="360"/>
      </w:pPr>
      <w:r>
        <w:t xml:space="preserve">If the meteorological tower(s) </w:t>
      </w:r>
      <w:r w:rsidR="00DD1433">
        <w:t>is</w:t>
      </w:r>
      <w:r>
        <w:t xml:space="preserve"> unavailable, what is the process to obtain meteorological data?</w:t>
      </w:r>
    </w:p>
    <w:p w:rsidR="008535C5" w:rsidRDefault="008535C5" w:rsidP="008535C5">
      <w:pPr>
        <w:pStyle w:val="ListParagraph"/>
        <w:tabs>
          <w:tab w:val="left" w:pos="360"/>
        </w:tabs>
        <w:ind w:left="360"/>
      </w:pPr>
    </w:p>
    <w:p w:rsidR="008535C5" w:rsidRPr="00DD1433" w:rsidRDefault="008535C5" w:rsidP="008535C5">
      <w:pPr>
        <w:pStyle w:val="ListParagraph"/>
        <w:tabs>
          <w:tab w:val="left" w:pos="360"/>
        </w:tabs>
        <w:ind w:left="360"/>
        <w:rPr>
          <w:color w:val="4F81BD" w:themeColor="accent1"/>
        </w:rPr>
      </w:pPr>
      <w:r w:rsidRPr="00DD1433">
        <w:rPr>
          <w:color w:val="4F81BD" w:themeColor="accent1"/>
        </w:rPr>
        <w:t>PG&amp;E will obtain meteorological data by calling the National Oceanic and Atmospheric Administration (NOAA) or</w:t>
      </w:r>
      <w:bookmarkStart w:id="0" w:name="_GoBack"/>
      <w:r w:rsidRPr="00DD1433">
        <w:rPr>
          <w:color w:val="4F81BD" w:themeColor="accent1"/>
        </w:rPr>
        <w:t xml:space="preserve"> </w:t>
      </w:r>
      <w:bookmarkEnd w:id="0"/>
      <w:r w:rsidRPr="00DD1433">
        <w:rPr>
          <w:color w:val="4F81BD" w:themeColor="accent1"/>
        </w:rPr>
        <w:t>looking to procedural guidance.</w:t>
      </w:r>
    </w:p>
    <w:p w:rsidR="008535C5" w:rsidRDefault="008535C5" w:rsidP="008535C5">
      <w:pPr>
        <w:pStyle w:val="ListParagraph"/>
        <w:tabs>
          <w:tab w:val="left" w:pos="360"/>
        </w:tabs>
        <w:ind w:left="360"/>
      </w:pPr>
    </w:p>
    <w:p w:rsidR="003B26EE" w:rsidRDefault="003B26EE" w:rsidP="008535C5">
      <w:pPr>
        <w:pStyle w:val="ListParagraph"/>
        <w:numPr>
          <w:ilvl w:val="0"/>
          <w:numId w:val="11"/>
        </w:numPr>
        <w:tabs>
          <w:tab w:val="left" w:pos="360"/>
        </w:tabs>
        <w:ind w:left="360"/>
      </w:pPr>
      <w:r>
        <w:t>Should default wind speed, wind direction, and stability class for specific times of the year, day, and night be proceduralized if meteorological data is inaccessible?</w:t>
      </w:r>
    </w:p>
    <w:p w:rsidR="008535C5" w:rsidRDefault="008535C5" w:rsidP="008535C5">
      <w:pPr>
        <w:pStyle w:val="ListParagraph"/>
        <w:tabs>
          <w:tab w:val="left" w:pos="360"/>
        </w:tabs>
        <w:ind w:left="360"/>
      </w:pPr>
    </w:p>
    <w:p w:rsidR="008535C5" w:rsidRPr="00DD1433" w:rsidRDefault="008535C5" w:rsidP="008535C5">
      <w:pPr>
        <w:pStyle w:val="ListParagraph"/>
        <w:tabs>
          <w:tab w:val="left" w:pos="360"/>
        </w:tabs>
        <w:ind w:left="360"/>
        <w:rPr>
          <w:color w:val="4F81BD" w:themeColor="accent1"/>
        </w:rPr>
      </w:pPr>
      <w:r w:rsidRPr="00DD1433">
        <w:rPr>
          <w:color w:val="4F81BD" w:themeColor="accent1"/>
        </w:rPr>
        <w:t xml:space="preserve">PG&amp;E will </w:t>
      </w:r>
      <w:r w:rsidR="00DD1433">
        <w:rPr>
          <w:color w:val="4F81BD" w:themeColor="accent1"/>
        </w:rPr>
        <w:t>establish</w:t>
      </w:r>
      <w:r w:rsidRPr="00DD1433">
        <w:rPr>
          <w:color w:val="4F81BD" w:themeColor="accent1"/>
        </w:rPr>
        <w:t xml:space="preserve"> default wind speed, wind direction, and stability class for specific times of the year, day, and night. PG&amp;E will include these default parameters in </w:t>
      </w:r>
      <w:r w:rsidR="00DD1433">
        <w:rPr>
          <w:color w:val="4F81BD" w:themeColor="accent1"/>
        </w:rPr>
        <w:t>procedural guidance</w:t>
      </w:r>
      <w:r w:rsidRPr="00DD1433">
        <w:rPr>
          <w:color w:val="4F81BD" w:themeColor="accent1"/>
        </w:rPr>
        <w:t>.</w:t>
      </w:r>
    </w:p>
    <w:p w:rsidR="008535C5" w:rsidRDefault="008535C5" w:rsidP="008535C5">
      <w:pPr>
        <w:pStyle w:val="ListParagraph"/>
        <w:tabs>
          <w:tab w:val="left" w:pos="360"/>
        </w:tabs>
        <w:ind w:left="360"/>
      </w:pPr>
    </w:p>
    <w:p w:rsidR="00523B12" w:rsidRDefault="00523B12" w:rsidP="008535C5">
      <w:pPr>
        <w:pStyle w:val="ListParagraph"/>
        <w:numPr>
          <w:ilvl w:val="0"/>
          <w:numId w:val="11"/>
        </w:numPr>
        <w:tabs>
          <w:tab w:val="left" w:pos="360"/>
        </w:tabs>
        <w:ind w:left="360"/>
      </w:pPr>
      <w:r>
        <w:t>If effluent radiation monitor data is unavailable, what data should be used to perform dose assessment?</w:t>
      </w:r>
    </w:p>
    <w:p w:rsidR="008535C5" w:rsidRDefault="008535C5" w:rsidP="008535C5">
      <w:pPr>
        <w:pStyle w:val="ListParagraph"/>
        <w:tabs>
          <w:tab w:val="left" w:pos="360"/>
        </w:tabs>
        <w:ind w:left="360"/>
      </w:pPr>
    </w:p>
    <w:p w:rsidR="00764AB5" w:rsidRPr="00766267" w:rsidRDefault="00764AB5" w:rsidP="008535C5">
      <w:pPr>
        <w:pStyle w:val="ListParagraph"/>
        <w:tabs>
          <w:tab w:val="left" w:pos="360"/>
        </w:tabs>
        <w:ind w:left="360"/>
        <w:rPr>
          <w:color w:val="548DD4" w:themeColor="text2" w:themeTint="99"/>
        </w:rPr>
      </w:pPr>
      <w:r w:rsidRPr="00766267">
        <w:rPr>
          <w:color w:val="548DD4" w:themeColor="text2" w:themeTint="99"/>
        </w:rPr>
        <w:t>PG&amp;E will deploy C&amp;RP Technicians to obtain air samples from the plant vent or obtain field monitoring team in plume air samples for manual entry of isotopic results into dose assessment models, or use in-plume direct survey data from field monitoring teams to conduct back calculations in the MIDAS dose assessment module.</w:t>
      </w:r>
    </w:p>
    <w:p w:rsidR="008535C5" w:rsidRDefault="008535C5" w:rsidP="008535C5">
      <w:pPr>
        <w:pStyle w:val="ListParagraph"/>
        <w:tabs>
          <w:tab w:val="left" w:pos="360"/>
        </w:tabs>
        <w:ind w:left="360"/>
      </w:pPr>
    </w:p>
    <w:p w:rsidR="00523B12" w:rsidRDefault="00523B12" w:rsidP="008535C5">
      <w:pPr>
        <w:pStyle w:val="ListParagraph"/>
        <w:numPr>
          <w:ilvl w:val="0"/>
          <w:numId w:val="11"/>
        </w:numPr>
        <w:tabs>
          <w:tab w:val="left" w:pos="360"/>
        </w:tabs>
        <w:ind w:left="360"/>
      </w:pPr>
      <w:r>
        <w:t>If effluent monitoring data is unavailable, should predetermined default accident information be used?</w:t>
      </w:r>
    </w:p>
    <w:p w:rsidR="00523B12" w:rsidRDefault="00523B12" w:rsidP="008535C5">
      <w:pPr>
        <w:pStyle w:val="ListParagraph"/>
        <w:tabs>
          <w:tab w:val="left" w:pos="360"/>
        </w:tabs>
        <w:ind w:left="360"/>
      </w:pPr>
    </w:p>
    <w:p w:rsidR="0079629F" w:rsidRPr="00DD1433" w:rsidRDefault="0079629F" w:rsidP="008535C5">
      <w:pPr>
        <w:pStyle w:val="ListParagraph"/>
        <w:tabs>
          <w:tab w:val="left" w:pos="360"/>
        </w:tabs>
        <w:ind w:left="360"/>
        <w:rPr>
          <w:color w:val="4F81BD" w:themeColor="accent1"/>
        </w:rPr>
      </w:pPr>
      <w:r w:rsidRPr="00DD1433">
        <w:rPr>
          <w:color w:val="4F81BD" w:themeColor="accent1"/>
        </w:rPr>
        <w:t>PG&amp;E will only use predetermined default accident information for “what if” projections.</w:t>
      </w:r>
    </w:p>
    <w:p w:rsidR="0079629F" w:rsidRPr="00DD1433" w:rsidRDefault="0079629F" w:rsidP="008535C5">
      <w:pPr>
        <w:pStyle w:val="ListParagraph"/>
        <w:tabs>
          <w:tab w:val="left" w:pos="360"/>
        </w:tabs>
        <w:ind w:left="360"/>
        <w:rPr>
          <w:color w:val="4F81BD" w:themeColor="accent1"/>
        </w:rPr>
      </w:pPr>
    </w:p>
    <w:p w:rsidR="00523B12" w:rsidRDefault="00523B12" w:rsidP="008535C5">
      <w:pPr>
        <w:pStyle w:val="ListParagraph"/>
        <w:numPr>
          <w:ilvl w:val="0"/>
          <w:numId w:val="11"/>
        </w:numPr>
        <w:tabs>
          <w:tab w:val="left" w:pos="360"/>
        </w:tabs>
        <w:ind w:left="360"/>
      </w:pPr>
      <w:r>
        <w:t>What</w:t>
      </w:r>
      <w:r w:rsidR="0079629F">
        <w:t xml:space="preserve"> is considered reasonable protection for the</w:t>
      </w:r>
      <w:r>
        <w:t xml:space="preserve"> dose assessment </w:t>
      </w:r>
      <w:r w:rsidR="0079629F">
        <w:t>equipment</w:t>
      </w:r>
      <w:r>
        <w:t>?</w:t>
      </w:r>
    </w:p>
    <w:p w:rsidR="00523B12" w:rsidRDefault="00523B12" w:rsidP="008535C5">
      <w:pPr>
        <w:pStyle w:val="ListParagraph"/>
        <w:tabs>
          <w:tab w:val="left" w:pos="360"/>
        </w:tabs>
        <w:ind w:left="360"/>
      </w:pPr>
    </w:p>
    <w:p w:rsidR="0079629F" w:rsidRPr="00DD1433" w:rsidRDefault="0079629F" w:rsidP="008535C5">
      <w:pPr>
        <w:pStyle w:val="ListParagraph"/>
        <w:tabs>
          <w:tab w:val="left" w:pos="360"/>
        </w:tabs>
        <w:ind w:left="360"/>
        <w:rPr>
          <w:color w:val="4F81BD" w:themeColor="accent1"/>
        </w:rPr>
      </w:pPr>
      <w:r w:rsidRPr="00DD1433">
        <w:rPr>
          <w:color w:val="4F81BD" w:themeColor="accent1"/>
        </w:rPr>
        <w:lastRenderedPageBreak/>
        <w:t>PG&amp;E will use the guidance provided in NEI 12-01 to determine reasonable protection of the dose assessment equipment.</w:t>
      </w:r>
    </w:p>
    <w:p w:rsidR="0079629F" w:rsidRDefault="0079629F" w:rsidP="008535C5">
      <w:pPr>
        <w:pStyle w:val="ListParagraph"/>
        <w:tabs>
          <w:tab w:val="left" w:pos="360"/>
        </w:tabs>
        <w:ind w:left="360"/>
      </w:pPr>
    </w:p>
    <w:p w:rsidR="00523B12" w:rsidRDefault="00523B12" w:rsidP="008535C5">
      <w:pPr>
        <w:pStyle w:val="ListParagraph"/>
        <w:numPr>
          <w:ilvl w:val="0"/>
          <w:numId w:val="11"/>
        </w:numPr>
        <w:tabs>
          <w:tab w:val="left" w:pos="360"/>
        </w:tabs>
        <w:ind w:left="360"/>
      </w:pPr>
      <w:r>
        <w:t>Who is responsible for performing the initial on-shift dose assessment calculations?</w:t>
      </w:r>
    </w:p>
    <w:p w:rsidR="00523B12" w:rsidRDefault="00523B12" w:rsidP="008535C5">
      <w:pPr>
        <w:pStyle w:val="ListParagraph"/>
        <w:tabs>
          <w:tab w:val="left" w:pos="360"/>
        </w:tabs>
        <w:ind w:left="360"/>
      </w:pPr>
    </w:p>
    <w:p w:rsidR="0079629F" w:rsidRPr="00DD1433" w:rsidRDefault="0079629F" w:rsidP="008535C5">
      <w:pPr>
        <w:pStyle w:val="ListParagraph"/>
        <w:tabs>
          <w:tab w:val="left" w:pos="360"/>
        </w:tabs>
        <w:ind w:left="360"/>
        <w:rPr>
          <w:color w:val="4F81BD" w:themeColor="accent1"/>
        </w:rPr>
      </w:pPr>
      <w:r w:rsidRPr="00DD1433">
        <w:rPr>
          <w:color w:val="4F81BD" w:themeColor="accent1"/>
        </w:rPr>
        <w:t xml:space="preserve">For PG&amp;E, the control room personnel </w:t>
      </w:r>
      <w:r w:rsidR="00DD1433">
        <w:rPr>
          <w:color w:val="4F81BD" w:themeColor="accent1"/>
        </w:rPr>
        <w:t xml:space="preserve">are responsible for </w:t>
      </w:r>
      <w:r w:rsidRPr="00DD1433">
        <w:rPr>
          <w:color w:val="4F81BD" w:themeColor="accent1"/>
        </w:rPr>
        <w:t>perform</w:t>
      </w:r>
      <w:r w:rsidR="00DD1433">
        <w:rPr>
          <w:color w:val="4F81BD" w:themeColor="accent1"/>
        </w:rPr>
        <w:t>ing</w:t>
      </w:r>
      <w:r w:rsidRPr="00DD1433">
        <w:rPr>
          <w:color w:val="4F81BD" w:themeColor="accent1"/>
        </w:rPr>
        <w:t xml:space="preserve"> the initial on-shift dose assessment calculations.</w:t>
      </w:r>
      <w:r w:rsidR="00764AB5">
        <w:rPr>
          <w:color w:val="4F81BD" w:themeColor="accent1"/>
        </w:rPr>
        <w:t xml:space="preserve"> PG&amp;E is evaluating using </w:t>
      </w:r>
      <w:r w:rsidR="00764AB5" w:rsidRPr="00DD1433">
        <w:rPr>
          <w:color w:val="4F81BD" w:themeColor="accent1"/>
        </w:rPr>
        <w:t>radiation protection</w:t>
      </w:r>
      <w:r w:rsidR="00764AB5">
        <w:rPr>
          <w:color w:val="4F81BD" w:themeColor="accent1"/>
        </w:rPr>
        <w:t xml:space="preserve"> personnel to perform </w:t>
      </w:r>
    </w:p>
    <w:p w:rsidR="0079629F" w:rsidRDefault="0079629F" w:rsidP="008535C5">
      <w:pPr>
        <w:pStyle w:val="ListParagraph"/>
        <w:tabs>
          <w:tab w:val="left" w:pos="360"/>
        </w:tabs>
        <w:ind w:left="360"/>
      </w:pPr>
    </w:p>
    <w:p w:rsidR="00523B12" w:rsidRDefault="00523B12" w:rsidP="008535C5">
      <w:pPr>
        <w:pStyle w:val="ListParagraph"/>
        <w:numPr>
          <w:ilvl w:val="0"/>
          <w:numId w:val="11"/>
        </w:numPr>
        <w:tabs>
          <w:tab w:val="left" w:pos="360"/>
        </w:tabs>
        <w:ind w:left="360"/>
      </w:pPr>
      <w:r>
        <w:t>How are the initial on-shift dose assessment</w:t>
      </w:r>
      <w:r w:rsidR="008535C5">
        <w:t xml:space="preserve"> calculations performed (e.g., dose assessment computer, procedure, calculation spreadsheet, etc.)?</w:t>
      </w:r>
    </w:p>
    <w:p w:rsidR="008535C5" w:rsidRDefault="008535C5" w:rsidP="008535C5">
      <w:pPr>
        <w:pStyle w:val="ListParagraph"/>
        <w:tabs>
          <w:tab w:val="left" w:pos="360"/>
        </w:tabs>
        <w:ind w:left="360"/>
      </w:pPr>
    </w:p>
    <w:p w:rsidR="0079629F" w:rsidRPr="00DD1433" w:rsidRDefault="0079629F" w:rsidP="008535C5">
      <w:pPr>
        <w:pStyle w:val="ListParagraph"/>
        <w:tabs>
          <w:tab w:val="left" w:pos="360"/>
        </w:tabs>
        <w:ind w:left="360"/>
        <w:rPr>
          <w:color w:val="4F81BD" w:themeColor="accent1"/>
        </w:rPr>
      </w:pPr>
      <w:r w:rsidRPr="00DD1433">
        <w:rPr>
          <w:color w:val="4F81BD" w:themeColor="accent1"/>
        </w:rPr>
        <w:t>The initial on-shift dose assessment calculations will be performed by utilizing the control room dose assessment computer.</w:t>
      </w:r>
    </w:p>
    <w:p w:rsidR="0079629F" w:rsidRDefault="0079629F" w:rsidP="008535C5">
      <w:pPr>
        <w:pStyle w:val="ListParagraph"/>
        <w:tabs>
          <w:tab w:val="left" w:pos="360"/>
        </w:tabs>
        <w:ind w:left="360"/>
      </w:pPr>
    </w:p>
    <w:p w:rsidR="008535C5" w:rsidRDefault="00C97C83" w:rsidP="008535C5">
      <w:pPr>
        <w:pStyle w:val="ListParagraph"/>
        <w:numPr>
          <w:ilvl w:val="0"/>
          <w:numId w:val="11"/>
        </w:numPr>
        <w:tabs>
          <w:tab w:val="left" w:pos="360"/>
        </w:tabs>
        <w:ind w:left="360"/>
      </w:pPr>
      <w:r>
        <w:t>How often should dose assessment calculations be conducted as required by procedural guidance</w:t>
      </w:r>
      <w:r w:rsidR="008535C5">
        <w:t>?</w:t>
      </w:r>
    </w:p>
    <w:p w:rsidR="00E12EB5" w:rsidRDefault="00E12EB5" w:rsidP="005849F5">
      <w:pPr>
        <w:ind w:firstLine="60"/>
      </w:pPr>
    </w:p>
    <w:p w:rsidR="0079629F" w:rsidRPr="00DD1433" w:rsidRDefault="0079629F" w:rsidP="0079629F">
      <w:pPr>
        <w:tabs>
          <w:tab w:val="left" w:pos="360"/>
        </w:tabs>
        <w:ind w:left="360"/>
        <w:rPr>
          <w:color w:val="4F81BD" w:themeColor="accent1"/>
        </w:rPr>
      </w:pPr>
      <w:r w:rsidRPr="00DD1433">
        <w:rPr>
          <w:color w:val="4F81BD" w:themeColor="accent1"/>
        </w:rPr>
        <w:t xml:space="preserve">PG&amp;E procedures </w:t>
      </w:r>
      <w:r w:rsidR="00C97C83">
        <w:rPr>
          <w:color w:val="4F81BD" w:themeColor="accent1"/>
        </w:rPr>
        <w:t>state</w:t>
      </w:r>
      <w:r w:rsidRPr="00DD1433">
        <w:rPr>
          <w:color w:val="4F81BD" w:themeColor="accent1"/>
        </w:rPr>
        <w:t xml:space="preserve"> that dose assessment calculations will be performed once or as radiological release conditions change until the augmented ERO staff arrive at their </w:t>
      </w:r>
      <w:r w:rsidR="00DD1433" w:rsidRPr="00DD1433">
        <w:rPr>
          <w:color w:val="4F81BD" w:themeColor="accent1"/>
        </w:rPr>
        <w:t>specified</w:t>
      </w:r>
      <w:r w:rsidRPr="00DD1433">
        <w:rPr>
          <w:color w:val="4F81BD" w:themeColor="accent1"/>
        </w:rPr>
        <w:t xml:space="preserve"> </w:t>
      </w:r>
      <w:r w:rsidR="00DD1433" w:rsidRPr="00DD1433">
        <w:rPr>
          <w:color w:val="4F81BD" w:themeColor="accent1"/>
        </w:rPr>
        <w:t>emergency response facilities</w:t>
      </w:r>
      <w:r w:rsidRPr="00DD1433">
        <w:rPr>
          <w:color w:val="4F81BD" w:themeColor="accent1"/>
        </w:rPr>
        <w:t xml:space="preserve"> to take over the dose assessment responsibility. Once responsibility has been transferred over </w:t>
      </w:r>
      <w:r w:rsidR="00C97C83">
        <w:rPr>
          <w:color w:val="4F81BD" w:themeColor="accent1"/>
        </w:rPr>
        <w:t>to the ERO staff, the procedure states</w:t>
      </w:r>
      <w:r w:rsidR="00DD1433" w:rsidRPr="00DD1433">
        <w:rPr>
          <w:color w:val="4F81BD" w:themeColor="accent1"/>
        </w:rPr>
        <w:t xml:space="preserve"> that dose assessment should be calculated once every 15 minutes.</w:t>
      </w:r>
    </w:p>
    <w:sectPr w:rsidR="0079629F" w:rsidRPr="00DD1433" w:rsidSect="00EB3B8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1CB" w:rsidRDefault="004431CB" w:rsidP="00DA68A9">
      <w:r>
        <w:separator/>
      </w:r>
    </w:p>
  </w:endnote>
  <w:endnote w:type="continuationSeparator" w:id="0">
    <w:p w:rsidR="004431CB" w:rsidRDefault="004431CB" w:rsidP="00DA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1CB" w:rsidRDefault="004431CB" w:rsidP="00DA68A9">
      <w:r>
        <w:separator/>
      </w:r>
    </w:p>
  </w:footnote>
  <w:footnote w:type="continuationSeparator" w:id="0">
    <w:p w:rsidR="004431CB" w:rsidRDefault="004431CB" w:rsidP="00DA68A9">
      <w:r>
        <w:continuationSeparator/>
      </w:r>
    </w:p>
  </w:footnote>
  <w:footnote w:id="1">
    <w:p w:rsidR="00DA68A9" w:rsidRPr="00F2280B" w:rsidRDefault="00DA68A9" w:rsidP="00DA68A9">
      <w:pPr>
        <w:pStyle w:val="FootnoteText"/>
        <w:rPr>
          <w:rFonts w:ascii="Arial" w:hAnsi="Arial" w:cs="Arial"/>
        </w:rPr>
      </w:pPr>
      <w:r w:rsidRPr="00F2280B">
        <w:rPr>
          <w:rFonts w:ascii="Arial" w:hAnsi="Arial" w:cs="Arial"/>
        </w:rPr>
        <w:t>If applicable per the site emergency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74B"/>
    <w:multiLevelType w:val="hybridMultilevel"/>
    <w:tmpl w:val="2D32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E120C"/>
    <w:multiLevelType w:val="hybridMultilevel"/>
    <w:tmpl w:val="5E52D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27339"/>
    <w:multiLevelType w:val="hybridMultilevel"/>
    <w:tmpl w:val="214A611E"/>
    <w:lvl w:ilvl="0" w:tplc="0409000F">
      <w:start w:val="1"/>
      <w:numFmt w:val="decimal"/>
      <w:lvlText w:val="%1."/>
      <w:lvlJc w:val="left"/>
      <w:pPr>
        <w:ind w:left="1170" w:hanging="360"/>
      </w:p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F253C93"/>
    <w:multiLevelType w:val="hybridMultilevel"/>
    <w:tmpl w:val="4D2A9ADA"/>
    <w:lvl w:ilvl="0" w:tplc="F086CF6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1E68DE"/>
    <w:multiLevelType w:val="hybridMultilevel"/>
    <w:tmpl w:val="A574E6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9B6B05"/>
    <w:multiLevelType w:val="hybridMultilevel"/>
    <w:tmpl w:val="CDA4C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42462"/>
    <w:multiLevelType w:val="hybridMultilevel"/>
    <w:tmpl w:val="EB363212"/>
    <w:lvl w:ilvl="0" w:tplc="F086CF6E">
      <w:start w:val="1"/>
      <w:numFmt w:val="decimal"/>
      <w:lvlText w:val="(%1)"/>
      <w:lvlJc w:val="left"/>
      <w:pPr>
        <w:tabs>
          <w:tab w:val="num" w:pos="1440"/>
        </w:tabs>
        <w:ind w:left="1440" w:hanging="720"/>
      </w:pPr>
      <w:rPr>
        <w:rFonts w:hint="default"/>
      </w:rPr>
    </w:lvl>
    <w:lvl w:ilvl="1" w:tplc="A2647ACA">
      <w:start w:val="1"/>
      <w:numFmt w:val="lowerLetter"/>
      <w:lvlText w:val="%2)"/>
      <w:lvlJc w:val="left"/>
      <w:pPr>
        <w:tabs>
          <w:tab w:val="num" w:pos="1440"/>
        </w:tabs>
        <w:ind w:left="1440" w:hanging="360"/>
      </w:pPr>
      <w:rPr>
        <w:rFonts w:cs="Times New Roman" w:hint="default"/>
        <w:color w:val="auto"/>
        <w:sz w:val="22"/>
        <w:szCs w:val="22"/>
      </w:rPr>
    </w:lvl>
    <w:lvl w:ilvl="2" w:tplc="DBC80396">
      <w:start w:val="1"/>
      <w:numFmt w:val="lowerLetter"/>
      <w:lvlText w:val="(%3)"/>
      <w:lvlJc w:val="left"/>
      <w:pPr>
        <w:tabs>
          <w:tab w:val="num" w:pos="2160"/>
        </w:tabs>
        <w:ind w:left="216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0D6CA8"/>
    <w:multiLevelType w:val="hybridMultilevel"/>
    <w:tmpl w:val="346200F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7">
      <w:start w:val="1"/>
      <w:numFmt w:val="lowerLetter"/>
      <w:lvlText w:val="%3)"/>
      <w:lvlJc w:val="lef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66CE4720"/>
    <w:multiLevelType w:val="hybridMultilevel"/>
    <w:tmpl w:val="B75E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A27CA"/>
    <w:multiLevelType w:val="hybridMultilevel"/>
    <w:tmpl w:val="D4C8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C01486"/>
    <w:multiLevelType w:val="hybridMultilevel"/>
    <w:tmpl w:val="40A21AEA"/>
    <w:lvl w:ilvl="0" w:tplc="0409000F">
      <w:start w:val="1"/>
      <w:numFmt w:val="decimal"/>
      <w:lvlText w:val="%1."/>
      <w:lvlJc w:val="left"/>
      <w:pPr>
        <w:ind w:left="780" w:hanging="360"/>
      </w:pPr>
    </w:lvl>
    <w:lvl w:ilvl="1" w:tplc="04090017">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9"/>
  </w:num>
  <w:num w:numId="3">
    <w:abstractNumId w:val="0"/>
  </w:num>
  <w:num w:numId="4">
    <w:abstractNumId w:val="10"/>
  </w:num>
  <w:num w:numId="5">
    <w:abstractNumId w:val="2"/>
  </w:num>
  <w:num w:numId="6">
    <w:abstractNumId w:val="6"/>
  </w:num>
  <w:num w:numId="7">
    <w:abstractNumId w:val="7"/>
  </w:num>
  <w:num w:numId="8">
    <w:abstractNumId w:val="3"/>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117"/>
    <w:rsid w:val="00200B18"/>
    <w:rsid w:val="002767C1"/>
    <w:rsid w:val="002A19EB"/>
    <w:rsid w:val="002D1A45"/>
    <w:rsid w:val="00331117"/>
    <w:rsid w:val="0034593B"/>
    <w:rsid w:val="00364194"/>
    <w:rsid w:val="003B26EE"/>
    <w:rsid w:val="003C17B9"/>
    <w:rsid w:val="004431CB"/>
    <w:rsid w:val="00523B12"/>
    <w:rsid w:val="0058180C"/>
    <w:rsid w:val="005849F5"/>
    <w:rsid w:val="005F2508"/>
    <w:rsid w:val="00723C1E"/>
    <w:rsid w:val="00764AB5"/>
    <w:rsid w:val="00766267"/>
    <w:rsid w:val="0079629F"/>
    <w:rsid w:val="007D2BA1"/>
    <w:rsid w:val="008348C8"/>
    <w:rsid w:val="008535C5"/>
    <w:rsid w:val="008A3126"/>
    <w:rsid w:val="00A363F4"/>
    <w:rsid w:val="00A45B16"/>
    <w:rsid w:val="00A86F07"/>
    <w:rsid w:val="00AD1B93"/>
    <w:rsid w:val="00C97C83"/>
    <w:rsid w:val="00CA4D4E"/>
    <w:rsid w:val="00D27EA0"/>
    <w:rsid w:val="00DA68A9"/>
    <w:rsid w:val="00DD1433"/>
    <w:rsid w:val="00E12EB5"/>
    <w:rsid w:val="00E71B45"/>
    <w:rsid w:val="00EB3B85"/>
    <w:rsid w:val="00FD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849F5"/>
    <w:pPr>
      <w:ind w:left="720"/>
      <w:contextualSpacing/>
    </w:pPr>
  </w:style>
  <w:style w:type="character" w:customStyle="1" w:styleId="ListParagraphChar">
    <w:name w:val="List Paragraph Char"/>
    <w:link w:val="ListParagraph"/>
    <w:uiPriority w:val="34"/>
    <w:locked/>
    <w:rsid w:val="008A3126"/>
    <w:rPr>
      <w:rFonts w:ascii="Arial" w:hAnsi="Arial"/>
      <w:sz w:val="22"/>
    </w:rPr>
  </w:style>
  <w:style w:type="paragraph" w:styleId="FootnoteText">
    <w:name w:val="footnote text"/>
    <w:basedOn w:val="Normal"/>
    <w:link w:val="FootnoteTextChar"/>
    <w:uiPriority w:val="99"/>
    <w:rsid w:val="00DA68A9"/>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uiPriority w:val="99"/>
    <w:rsid w:val="00DA68A9"/>
  </w:style>
  <w:style w:type="character" w:styleId="FootnoteReference">
    <w:name w:val="footnote reference"/>
    <w:uiPriority w:val="99"/>
    <w:rsid w:val="00DA68A9"/>
    <w:rPr>
      <w:rFonts w:cs="Times New Roman"/>
      <w:vertAlign w:val="superscript"/>
    </w:rPr>
  </w:style>
  <w:style w:type="paragraph" w:styleId="Title">
    <w:name w:val="Title"/>
    <w:basedOn w:val="Normal"/>
    <w:next w:val="Normal"/>
    <w:link w:val="TitleChar"/>
    <w:qFormat/>
    <w:rsid w:val="00DA68A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A68A9"/>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849F5"/>
    <w:pPr>
      <w:ind w:left="720"/>
      <w:contextualSpacing/>
    </w:pPr>
  </w:style>
  <w:style w:type="character" w:customStyle="1" w:styleId="ListParagraphChar">
    <w:name w:val="List Paragraph Char"/>
    <w:link w:val="ListParagraph"/>
    <w:uiPriority w:val="34"/>
    <w:locked/>
    <w:rsid w:val="008A3126"/>
    <w:rPr>
      <w:rFonts w:ascii="Arial" w:hAnsi="Arial"/>
      <w:sz w:val="22"/>
    </w:rPr>
  </w:style>
  <w:style w:type="paragraph" w:styleId="FootnoteText">
    <w:name w:val="footnote text"/>
    <w:basedOn w:val="Normal"/>
    <w:link w:val="FootnoteTextChar"/>
    <w:uiPriority w:val="99"/>
    <w:rsid w:val="00DA68A9"/>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uiPriority w:val="99"/>
    <w:rsid w:val="00DA68A9"/>
  </w:style>
  <w:style w:type="character" w:styleId="FootnoteReference">
    <w:name w:val="footnote reference"/>
    <w:uiPriority w:val="99"/>
    <w:rsid w:val="00DA68A9"/>
    <w:rPr>
      <w:rFonts w:cs="Times New Roman"/>
      <w:vertAlign w:val="superscript"/>
    </w:rPr>
  </w:style>
  <w:style w:type="paragraph" w:styleId="Title">
    <w:name w:val="Title"/>
    <w:basedOn w:val="Normal"/>
    <w:next w:val="Normal"/>
    <w:link w:val="TitleChar"/>
    <w:qFormat/>
    <w:rsid w:val="00DA68A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DA68A9"/>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Pacific Gas and Electric</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 Chloe</dc:creator>
  <cp:lastModifiedBy>Hansen, Curtis</cp:lastModifiedBy>
  <cp:revision>3</cp:revision>
  <cp:lastPrinted>2013-05-23T17:31:00Z</cp:lastPrinted>
  <dcterms:created xsi:type="dcterms:W3CDTF">2013-05-30T00:23:00Z</dcterms:created>
  <dcterms:modified xsi:type="dcterms:W3CDTF">2013-05-30T20:00:00Z</dcterms:modified>
</cp:coreProperties>
</file>